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A6B469" w14:textId="77777777" w:rsidR="00704B96" w:rsidRDefault="00704B96" w:rsidP="002D77B8">
      <w:pPr>
        <w:pStyle w:val="Nessunaspaziatura"/>
        <w:rPr>
          <w:highlight w:val="yellow"/>
        </w:rPr>
      </w:pPr>
    </w:p>
    <w:p w14:paraId="116403E1" w14:textId="77777777" w:rsidR="0040242D" w:rsidRDefault="0040242D" w:rsidP="0040242D">
      <w:pPr>
        <w:pStyle w:val="Livellonota11"/>
        <w:numPr>
          <w:ilvl w:val="0"/>
          <w:numId w:val="0"/>
        </w:numPr>
        <w:rPr>
          <w:rFonts w:ascii="Times New Roman" w:hAnsi="Times New Roman" w:cs="Times New Roman"/>
          <w:sz w:val="24"/>
          <w:szCs w:val="24"/>
          <w:shd w:val="clear" w:color="auto" w:fill="FFFFFF"/>
        </w:rPr>
      </w:pPr>
    </w:p>
    <w:p w14:paraId="44F57926" w14:textId="77777777" w:rsidR="0040242D" w:rsidRDefault="0040242D" w:rsidP="0040242D">
      <w:pPr>
        <w:pStyle w:val="Livellonota11"/>
        <w:numPr>
          <w:ilvl w:val="0"/>
          <w:numId w:val="0"/>
        </w:numPr>
        <w:rPr>
          <w:rFonts w:ascii="Times New Roman" w:hAnsi="Times New Roman" w:cs="Times New Roman"/>
          <w:sz w:val="24"/>
          <w:szCs w:val="24"/>
          <w:shd w:val="clear" w:color="auto" w:fill="FFFFFF"/>
        </w:rPr>
      </w:pPr>
    </w:p>
    <w:p w14:paraId="1835794E" w14:textId="77777777" w:rsidR="003615AE" w:rsidRDefault="003615AE" w:rsidP="0040242D">
      <w:pPr>
        <w:pStyle w:val="Livellonota11"/>
        <w:numPr>
          <w:ilvl w:val="0"/>
          <w:numId w:val="0"/>
        </w:numPr>
        <w:rPr>
          <w:rFonts w:ascii="Times New Roman" w:hAnsi="Times New Roman" w:cs="Times New Roman"/>
          <w:sz w:val="24"/>
          <w:szCs w:val="24"/>
          <w:shd w:val="clear" w:color="auto" w:fill="FFFFFF"/>
        </w:rPr>
      </w:pPr>
    </w:p>
    <w:p w14:paraId="567B5849" w14:textId="77777777" w:rsidR="003615AE" w:rsidRDefault="003615AE" w:rsidP="0040242D">
      <w:pPr>
        <w:pStyle w:val="Livellonota11"/>
        <w:numPr>
          <w:ilvl w:val="0"/>
          <w:numId w:val="0"/>
        </w:numPr>
        <w:rPr>
          <w:rFonts w:ascii="Times New Roman" w:hAnsi="Times New Roman" w:cs="Times New Roman"/>
          <w:sz w:val="24"/>
          <w:szCs w:val="24"/>
          <w:shd w:val="clear" w:color="auto" w:fill="FFFFFF"/>
        </w:rPr>
      </w:pPr>
    </w:p>
    <w:p w14:paraId="1C81F2F4" w14:textId="77777777" w:rsidR="00FD4FC7" w:rsidRDefault="00FD4FC7" w:rsidP="0040242D">
      <w:pPr>
        <w:pStyle w:val="Livellonota11"/>
        <w:numPr>
          <w:ilvl w:val="0"/>
          <w:numId w:val="0"/>
        </w:numPr>
        <w:rPr>
          <w:rFonts w:ascii="Times New Roman" w:hAnsi="Times New Roman" w:cs="Times New Roman"/>
          <w:sz w:val="24"/>
          <w:szCs w:val="24"/>
          <w:shd w:val="clear" w:color="auto" w:fill="FFFFFF"/>
        </w:rPr>
      </w:pPr>
    </w:p>
    <w:p w14:paraId="4052463E" w14:textId="77777777" w:rsidR="003615AE" w:rsidRDefault="003615AE" w:rsidP="0040242D">
      <w:pPr>
        <w:pStyle w:val="Livellonota11"/>
        <w:numPr>
          <w:ilvl w:val="0"/>
          <w:numId w:val="0"/>
        </w:numPr>
        <w:rPr>
          <w:rFonts w:ascii="Times New Roman" w:hAnsi="Times New Roman" w:cs="Times New Roman"/>
          <w:sz w:val="24"/>
          <w:szCs w:val="24"/>
          <w:shd w:val="clear" w:color="auto" w:fill="FFFFFF"/>
        </w:rPr>
      </w:pPr>
    </w:p>
    <w:p w14:paraId="2F5D9CEE" w14:textId="77777777" w:rsidR="0040242D" w:rsidRDefault="0040242D" w:rsidP="0040242D">
      <w:pPr>
        <w:pStyle w:val="Livellonota11"/>
        <w:numPr>
          <w:ilvl w:val="0"/>
          <w:numId w:val="0"/>
        </w:numPr>
        <w:rPr>
          <w:rFonts w:ascii="Times New Roman" w:hAnsi="Times New Roman" w:cs="Times New Roman"/>
          <w:sz w:val="24"/>
          <w:szCs w:val="24"/>
          <w:shd w:val="clear" w:color="auto" w:fill="FFFFFF"/>
        </w:rPr>
      </w:pPr>
    </w:p>
    <w:p w14:paraId="355A1939" w14:textId="77777777" w:rsidR="0040242D" w:rsidRDefault="0040242D" w:rsidP="0040242D">
      <w:pPr>
        <w:pStyle w:val="Livellonota11"/>
        <w:numPr>
          <w:ilvl w:val="0"/>
          <w:numId w:val="0"/>
        </w:numPr>
        <w:rPr>
          <w:rFonts w:ascii="Times New Roman" w:hAnsi="Times New Roman" w:cs="Times New Roman"/>
          <w:sz w:val="24"/>
          <w:szCs w:val="24"/>
          <w:shd w:val="clear" w:color="auto" w:fill="FFFFFF"/>
        </w:rPr>
      </w:pPr>
    </w:p>
    <w:p w14:paraId="5C86737A" w14:textId="77777777" w:rsidR="0040242D" w:rsidRDefault="0040242D" w:rsidP="0040242D">
      <w:pPr>
        <w:pStyle w:val="Livellonota11"/>
        <w:numPr>
          <w:ilvl w:val="0"/>
          <w:numId w:val="0"/>
        </w:numPr>
        <w:rPr>
          <w:rFonts w:ascii="Times New Roman" w:hAnsi="Times New Roman" w:cs="Times New Roman"/>
          <w:sz w:val="24"/>
          <w:szCs w:val="24"/>
          <w:shd w:val="clear" w:color="auto" w:fill="FFFFFF"/>
        </w:rPr>
      </w:pPr>
    </w:p>
    <w:p w14:paraId="2D08EC02" w14:textId="77777777" w:rsidR="0040242D" w:rsidRDefault="0040242D" w:rsidP="0040242D">
      <w:pPr>
        <w:pStyle w:val="Livellonota11"/>
        <w:numPr>
          <w:ilvl w:val="0"/>
          <w:numId w:val="0"/>
        </w:numPr>
        <w:rPr>
          <w:rFonts w:ascii="Times New Roman" w:hAnsi="Times New Roman" w:cs="Times New Roman"/>
          <w:sz w:val="24"/>
          <w:szCs w:val="24"/>
          <w:shd w:val="clear" w:color="auto" w:fill="FFFFFF"/>
        </w:rPr>
      </w:pPr>
    </w:p>
    <w:p w14:paraId="4A52D6A7" w14:textId="77777777" w:rsidR="0040242D" w:rsidRPr="001C1747" w:rsidRDefault="0040242D" w:rsidP="0040242D">
      <w:pPr>
        <w:pStyle w:val="Livellonota11"/>
        <w:numPr>
          <w:ilvl w:val="0"/>
          <w:numId w:val="0"/>
        </w:numPr>
        <w:rPr>
          <w:rFonts w:ascii="Times New Roman" w:hAnsi="Times New Roman" w:cs="Times New Roman"/>
          <w:sz w:val="24"/>
          <w:szCs w:val="24"/>
          <w:shd w:val="clear" w:color="auto" w:fill="FFFFFF"/>
        </w:rPr>
      </w:pPr>
    </w:p>
    <w:p w14:paraId="3BE1DA68" w14:textId="479B91FC" w:rsidR="0040242D" w:rsidRPr="00BA7E50" w:rsidRDefault="00BA7E50" w:rsidP="0040242D">
      <w:pPr>
        <w:pStyle w:val="Livellonota11"/>
        <w:numPr>
          <w:ilvl w:val="0"/>
          <w:numId w:val="0"/>
        </w:numPr>
        <w:jc w:val="center"/>
        <w:rPr>
          <w:rFonts w:ascii="Times New Roman" w:hAnsi="Times New Roman" w:cs="Times New Roman"/>
          <w:b/>
          <w:sz w:val="40"/>
          <w:szCs w:val="40"/>
        </w:rPr>
      </w:pPr>
      <w:r w:rsidRPr="00BA7E50">
        <w:rPr>
          <w:rFonts w:ascii="Times New Roman" w:hAnsi="Times New Roman" w:cs="Times New Roman"/>
          <w:b/>
          <w:sz w:val="40"/>
          <w:szCs w:val="40"/>
        </w:rPr>
        <w:t>Audizion</w:t>
      </w:r>
      <w:r w:rsidR="00436FBC">
        <w:rPr>
          <w:rFonts w:ascii="Times New Roman" w:hAnsi="Times New Roman" w:cs="Times New Roman"/>
          <w:b/>
          <w:sz w:val="40"/>
          <w:szCs w:val="40"/>
        </w:rPr>
        <w:t>e</w:t>
      </w:r>
      <w:r w:rsidRPr="00BA7E50">
        <w:rPr>
          <w:rFonts w:ascii="Times New Roman" w:hAnsi="Times New Roman" w:cs="Times New Roman"/>
          <w:b/>
          <w:sz w:val="40"/>
          <w:szCs w:val="40"/>
        </w:rPr>
        <w:t xml:space="preserve"> </w:t>
      </w:r>
      <w:r w:rsidR="00436FBC" w:rsidRPr="00436FBC">
        <w:rPr>
          <w:rFonts w:ascii="Times New Roman" w:hAnsi="Times New Roman" w:cs="Times New Roman"/>
          <w:b/>
          <w:sz w:val="40"/>
          <w:szCs w:val="40"/>
        </w:rPr>
        <w:t>dinanzi all</w:t>
      </w:r>
      <w:r w:rsidR="005D7666">
        <w:rPr>
          <w:rFonts w:ascii="Times New Roman" w:hAnsi="Times New Roman" w:cs="Times New Roman"/>
          <w:b/>
          <w:sz w:val="40"/>
          <w:szCs w:val="40"/>
        </w:rPr>
        <w:t>’</w:t>
      </w:r>
      <w:r w:rsidR="00436FBC" w:rsidRPr="00436FBC">
        <w:rPr>
          <w:rFonts w:ascii="Times New Roman" w:hAnsi="Times New Roman" w:cs="Times New Roman"/>
          <w:b/>
          <w:sz w:val="40"/>
          <w:szCs w:val="40"/>
        </w:rPr>
        <w:t>Ufficio di Presidenza</w:t>
      </w:r>
      <w:r w:rsidR="00436FBC" w:rsidRPr="00436FBC">
        <w:rPr>
          <w:rFonts w:ascii="Times New Roman" w:hAnsi="Times New Roman" w:cs="Times New Roman"/>
          <w:b/>
          <w:sz w:val="40"/>
          <w:szCs w:val="40"/>
        </w:rPr>
        <w:br/>
        <w:t>della Commissione Affari costituzionali del Senato, in relazione ai</w:t>
      </w:r>
      <w:r w:rsidR="008D38C1">
        <w:rPr>
          <w:rFonts w:ascii="Times New Roman" w:hAnsi="Times New Roman" w:cs="Times New Roman"/>
          <w:b/>
          <w:sz w:val="40"/>
          <w:szCs w:val="40"/>
        </w:rPr>
        <w:t xml:space="preserve"> </w:t>
      </w:r>
      <w:r w:rsidR="00436FBC" w:rsidRPr="00436FBC">
        <w:rPr>
          <w:rFonts w:ascii="Times New Roman" w:hAnsi="Times New Roman" w:cs="Times New Roman"/>
          <w:b/>
          <w:sz w:val="40"/>
          <w:szCs w:val="40"/>
        </w:rPr>
        <w:t>disegni di legge n. 615 e 273</w:t>
      </w:r>
      <w:r w:rsidRPr="00BA7E50">
        <w:rPr>
          <w:rFonts w:ascii="Times New Roman" w:hAnsi="Times New Roman" w:cs="Times New Roman"/>
          <w:b/>
          <w:sz w:val="40"/>
          <w:szCs w:val="40"/>
        </w:rPr>
        <w:t xml:space="preserve"> (attuazione dell</w:t>
      </w:r>
      <w:r w:rsidR="008619D5">
        <w:rPr>
          <w:rFonts w:ascii="Times New Roman" w:hAnsi="Times New Roman" w:cs="Times New Roman"/>
          <w:b/>
          <w:sz w:val="40"/>
          <w:szCs w:val="40"/>
        </w:rPr>
        <w:t>’</w:t>
      </w:r>
      <w:r w:rsidRPr="00BA7E50">
        <w:rPr>
          <w:rFonts w:ascii="Times New Roman" w:hAnsi="Times New Roman" w:cs="Times New Roman"/>
          <w:b/>
          <w:sz w:val="40"/>
          <w:szCs w:val="40"/>
        </w:rPr>
        <w:t>autonomia differenziata delle regioni a statuto ordinario)</w:t>
      </w:r>
    </w:p>
    <w:p w14:paraId="6284A31E" w14:textId="77777777" w:rsidR="0040242D" w:rsidRDefault="0040242D" w:rsidP="0040242D">
      <w:pPr>
        <w:pStyle w:val="Livellonota11"/>
        <w:numPr>
          <w:ilvl w:val="0"/>
          <w:numId w:val="0"/>
        </w:numPr>
        <w:jc w:val="center"/>
        <w:rPr>
          <w:rFonts w:ascii="Times New Roman" w:hAnsi="Times New Roman" w:cs="Times New Roman"/>
          <w:b/>
          <w:sz w:val="24"/>
          <w:szCs w:val="24"/>
        </w:rPr>
      </w:pPr>
    </w:p>
    <w:p w14:paraId="54B5C402" w14:textId="77777777" w:rsidR="00BA7E50" w:rsidRDefault="00BA7E50" w:rsidP="0040242D">
      <w:pPr>
        <w:pStyle w:val="Livellonota11"/>
        <w:numPr>
          <w:ilvl w:val="0"/>
          <w:numId w:val="0"/>
        </w:numPr>
        <w:jc w:val="center"/>
        <w:rPr>
          <w:rFonts w:ascii="Times New Roman" w:hAnsi="Times New Roman" w:cs="Times New Roman"/>
          <w:b/>
          <w:sz w:val="24"/>
          <w:szCs w:val="24"/>
        </w:rPr>
      </w:pPr>
    </w:p>
    <w:p w14:paraId="54512ED4" w14:textId="77777777" w:rsidR="00BA7E50" w:rsidRDefault="00BA7E50" w:rsidP="0040242D">
      <w:pPr>
        <w:pStyle w:val="Livellonota11"/>
        <w:numPr>
          <w:ilvl w:val="0"/>
          <w:numId w:val="0"/>
        </w:numPr>
        <w:jc w:val="center"/>
        <w:rPr>
          <w:rFonts w:ascii="Times New Roman" w:hAnsi="Times New Roman" w:cs="Times New Roman"/>
          <w:b/>
          <w:sz w:val="24"/>
          <w:szCs w:val="24"/>
        </w:rPr>
      </w:pPr>
    </w:p>
    <w:p w14:paraId="0F19E0C4" w14:textId="77777777" w:rsidR="00BA7E50" w:rsidRDefault="00BA7E50" w:rsidP="0040242D">
      <w:pPr>
        <w:pStyle w:val="Livellonota11"/>
        <w:numPr>
          <w:ilvl w:val="0"/>
          <w:numId w:val="0"/>
        </w:numPr>
        <w:jc w:val="center"/>
        <w:rPr>
          <w:rFonts w:ascii="Times New Roman" w:hAnsi="Times New Roman" w:cs="Times New Roman"/>
          <w:b/>
          <w:sz w:val="24"/>
          <w:szCs w:val="24"/>
        </w:rPr>
      </w:pPr>
    </w:p>
    <w:p w14:paraId="38983CF8" w14:textId="77777777" w:rsidR="008D38C1" w:rsidRDefault="008D38C1" w:rsidP="0040242D">
      <w:pPr>
        <w:pStyle w:val="Livellonota11"/>
        <w:numPr>
          <w:ilvl w:val="0"/>
          <w:numId w:val="0"/>
        </w:numPr>
        <w:jc w:val="center"/>
        <w:rPr>
          <w:rFonts w:ascii="Times New Roman" w:hAnsi="Times New Roman" w:cs="Times New Roman"/>
          <w:b/>
          <w:sz w:val="24"/>
          <w:szCs w:val="24"/>
        </w:rPr>
      </w:pPr>
    </w:p>
    <w:p w14:paraId="15729FDA" w14:textId="77777777" w:rsidR="0040242D" w:rsidRDefault="0040242D" w:rsidP="0040242D">
      <w:pPr>
        <w:pStyle w:val="Livellonota11"/>
        <w:numPr>
          <w:ilvl w:val="0"/>
          <w:numId w:val="0"/>
        </w:numPr>
        <w:jc w:val="center"/>
        <w:rPr>
          <w:rFonts w:ascii="Times New Roman" w:hAnsi="Times New Roman" w:cs="Times New Roman"/>
          <w:b/>
          <w:sz w:val="24"/>
          <w:szCs w:val="24"/>
        </w:rPr>
      </w:pPr>
    </w:p>
    <w:p w14:paraId="696B1B86" w14:textId="668069A6" w:rsidR="003615AE" w:rsidRPr="008E307B" w:rsidRDefault="000C6D5A" w:rsidP="0040242D">
      <w:pPr>
        <w:pStyle w:val="Livellonota11"/>
        <w:numPr>
          <w:ilvl w:val="0"/>
          <w:numId w:val="0"/>
        </w:numPr>
        <w:jc w:val="center"/>
        <w:rPr>
          <w:rFonts w:ascii="Times New Roman" w:hAnsi="Times New Roman" w:cs="Times New Roman"/>
          <w:b/>
          <w:sz w:val="28"/>
          <w:szCs w:val="28"/>
        </w:rPr>
      </w:pPr>
      <w:r w:rsidRPr="008E307B">
        <w:rPr>
          <w:rFonts w:ascii="Times New Roman" w:hAnsi="Times New Roman" w:cs="Times New Roman"/>
          <w:b/>
          <w:sz w:val="28"/>
          <w:szCs w:val="28"/>
        </w:rPr>
        <w:t>Luca Bianchi</w:t>
      </w:r>
    </w:p>
    <w:p w14:paraId="480E452B" w14:textId="32C58894" w:rsidR="000C6D5A" w:rsidRPr="008E307B" w:rsidRDefault="000C6D5A" w:rsidP="0040242D">
      <w:pPr>
        <w:pStyle w:val="Livellonota11"/>
        <w:numPr>
          <w:ilvl w:val="0"/>
          <w:numId w:val="0"/>
        </w:numPr>
        <w:jc w:val="center"/>
        <w:rPr>
          <w:rFonts w:ascii="Times New Roman" w:hAnsi="Times New Roman" w:cs="Times New Roman"/>
          <w:b/>
          <w:sz w:val="28"/>
          <w:szCs w:val="28"/>
        </w:rPr>
      </w:pPr>
      <w:r w:rsidRPr="008E307B">
        <w:rPr>
          <w:rFonts w:ascii="Times New Roman" w:hAnsi="Times New Roman" w:cs="Times New Roman"/>
          <w:b/>
          <w:sz w:val="28"/>
          <w:szCs w:val="28"/>
        </w:rPr>
        <w:t>Direttore SVIMEZ</w:t>
      </w:r>
    </w:p>
    <w:p w14:paraId="4D0BDFC3" w14:textId="77777777" w:rsidR="003615AE" w:rsidRDefault="003615AE" w:rsidP="0040242D">
      <w:pPr>
        <w:pStyle w:val="Livellonota11"/>
        <w:numPr>
          <w:ilvl w:val="0"/>
          <w:numId w:val="0"/>
        </w:numPr>
        <w:jc w:val="center"/>
        <w:rPr>
          <w:rFonts w:ascii="Times New Roman" w:hAnsi="Times New Roman" w:cs="Times New Roman"/>
          <w:b/>
          <w:sz w:val="24"/>
          <w:szCs w:val="24"/>
        </w:rPr>
      </w:pPr>
    </w:p>
    <w:p w14:paraId="5B940DE3" w14:textId="77777777" w:rsidR="003615AE" w:rsidRDefault="003615AE" w:rsidP="0040242D">
      <w:pPr>
        <w:pStyle w:val="Livellonota11"/>
        <w:numPr>
          <w:ilvl w:val="0"/>
          <w:numId w:val="0"/>
        </w:numPr>
        <w:jc w:val="center"/>
        <w:rPr>
          <w:rFonts w:ascii="Times New Roman" w:hAnsi="Times New Roman" w:cs="Times New Roman"/>
          <w:b/>
          <w:sz w:val="24"/>
          <w:szCs w:val="24"/>
        </w:rPr>
      </w:pPr>
    </w:p>
    <w:p w14:paraId="59E59355" w14:textId="77777777" w:rsidR="008A47E1" w:rsidRDefault="008A47E1" w:rsidP="0040242D">
      <w:pPr>
        <w:pStyle w:val="Livellonota11"/>
        <w:numPr>
          <w:ilvl w:val="0"/>
          <w:numId w:val="0"/>
        </w:numPr>
        <w:jc w:val="center"/>
        <w:rPr>
          <w:rFonts w:ascii="Times New Roman" w:hAnsi="Times New Roman" w:cs="Times New Roman"/>
          <w:b/>
          <w:sz w:val="24"/>
          <w:szCs w:val="24"/>
        </w:rPr>
      </w:pPr>
    </w:p>
    <w:p w14:paraId="575203DC" w14:textId="77777777" w:rsidR="008A47E1" w:rsidRDefault="008A47E1" w:rsidP="0040242D">
      <w:pPr>
        <w:pStyle w:val="Livellonota11"/>
        <w:numPr>
          <w:ilvl w:val="0"/>
          <w:numId w:val="0"/>
        </w:numPr>
        <w:jc w:val="center"/>
        <w:rPr>
          <w:rFonts w:ascii="Times New Roman" w:hAnsi="Times New Roman" w:cs="Times New Roman"/>
          <w:b/>
          <w:sz w:val="24"/>
          <w:szCs w:val="24"/>
        </w:rPr>
      </w:pPr>
    </w:p>
    <w:p w14:paraId="006B02EA" w14:textId="77777777" w:rsidR="008A47E1" w:rsidRDefault="008A47E1" w:rsidP="0040242D">
      <w:pPr>
        <w:pStyle w:val="Livellonota11"/>
        <w:numPr>
          <w:ilvl w:val="0"/>
          <w:numId w:val="0"/>
        </w:numPr>
        <w:jc w:val="center"/>
        <w:rPr>
          <w:rFonts w:ascii="Times New Roman" w:hAnsi="Times New Roman" w:cs="Times New Roman"/>
          <w:b/>
          <w:sz w:val="24"/>
          <w:szCs w:val="24"/>
        </w:rPr>
      </w:pPr>
    </w:p>
    <w:p w14:paraId="245B8561" w14:textId="77777777" w:rsidR="003615AE" w:rsidRDefault="003615AE" w:rsidP="0040242D">
      <w:pPr>
        <w:pStyle w:val="Livellonota11"/>
        <w:numPr>
          <w:ilvl w:val="0"/>
          <w:numId w:val="0"/>
        </w:numPr>
        <w:jc w:val="center"/>
        <w:rPr>
          <w:rFonts w:ascii="Times New Roman" w:hAnsi="Times New Roman" w:cs="Times New Roman"/>
          <w:b/>
          <w:sz w:val="24"/>
          <w:szCs w:val="24"/>
        </w:rPr>
      </w:pPr>
    </w:p>
    <w:p w14:paraId="6618A0D2" w14:textId="77777777" w:rsidR="003615AE" w:rsidRDefault="003615AE" w:rsidP="0040242D">
      <w:pPr>
        <w:pStyle w:val="Livellonota11"/>
        <w:numPr>
          <w:ilvl w:val="0"/>
          <w:numId w:val="0"/>
        </w:numPr>
        <w:jc w:val="center"/>
        <w:rPr>
          <w:rFonts w:ascii="Times New Roman" w:hAnsi="Times New Roman" w:cs="Times New Roman"/>
          <w:b/>
          <w:sz w:val="24"/>
          <w:szCs w:val="24"/>
        </w:rPr>
      </w:pPr>
    </w:p>
    <w:p w14:paraId="59DE81AD" w14:textId="77777777" w:rsidR="003615AE" w:rsidRDefault="003615AE" w:rsidP="0040242D">
      <w:pPr>
        <w:pStyle w:val="Livellonota11"/>
        <w:numPr>
          <w:ilvl w:val="0"/>
          <w:numId w:val="0"/>
        </w:numPr>
        <w:jc w:val="center"/>
        <w:rPr>
          <w:rFonts w:ascii="Times New Roman" w:hAnsi="Times New Roman" w:cs="Times New Roman"/>
          <w:b/>
          <w:sz w:val="24"/>
          <w:szCs w:val="24"/>
        </w:rPr>
      </w:pPr>
    </w:p>
    <w:p w14:paraId="4821A2DD" w14:textId="77777777" w:rsidR="003615AE" w:rsidRDefault="003615AE" w:rsidP="0040242D">
      <w:pPr>
        <w:pStyle w:val="Livellonota11"/>
        <w:numPr>
          <w:ilvl w:val="0"/>
          <w:numId w:val="0"/>
        </w:numPr>
        <w:jc w:val="center"/>
        <w:rPr>
          <w:rFonts w:ascii="Times New Roman" w:hAnsi="Times New Roman" w:cs="Times New Roman"/>
          <w:b/>
          <w:sz w:val="24"/>
          <w:szCs w:val="24"/>
        </w:rPr>
      </w:pPr>
    </w:p>
    <w:p w14:paraId="4D71CA08" w14:textId="77777777" w:rsidR="003615AE" w:rsidRDefault="003615AE" w:rsidP="0040242D">
      <w:pPr>
        <w:pStyle w:val="Livellonota11"/>
        <w:numPr>
          <w:ilvl w:val="0"/>
          <w:numId w:val="0"/>
        </w:numPr>
        <w:jc w:val="center"/>
        <w:rPr>
          <w:rFonts w:ascii="Times New Roman" w:hAnsi="Times New Roman" w:cs="Times New Roman"/>
          <w:b/>
          <w:sz w:val="24"/>
          <w:szCs w:val="24"/>
        </w:rPr>
      </w:pPr>
    </w:p>
    <w:p w14:paraId="21607544" w14:textId="77777777" w:rsidR="003615AE" w:rsidRDefault="003615AE" w:rsidP="0040242D">
      <w:pPr>
        <w:pStyle w:val="Livellonota11"/>
        <w:numPr>
          <w:ilvl w:val="0"/>
          <w:numId w:val="0"/>
        </w:numPr>
        <w:jc w:val="center"/>
        <w:rPr>
          <w:rFonts w:ascii="Times New Roman" w:hAnsi="Times New Roman" w:cs="Times New Roman"/>
          <w:b/>
          <w:sz w:val="24"/>
          <w:szCs w:val="24"/>
        </w:rPr>
      </w:pPr>
    </w:p>
    <w:p w14:paraId="1EBB1C37" w14:textId="77777777" w:rsidR="00C97DF9" w:rsidRDefault="0040242D" w:rsidP="00FD4FC7">
      <w:pPr>
        <w:pStyle w:val="Livellonota11"/>
        <w:numPr>
          <w:ilvl w:val="0"/>
          <w:numId w:val="0"/>
        </w:numPr>
        <w:jc w:val="center"/>
        <w:rPr>
          <w:rFonts w:ascii="Times New Roman" w:hAnsi="Times New Roman" w:cs="Times New Roman"/>
          <w:b/>
          <w:sz w:val="24"/>
          <w:szCs w:val="24"/>
        </w:rPr>
        <w:sectPr w:rsidR="00C97DF9" w:rsidSect="0011651D">
          <w:headerReference w:type="even" r:id="rId8"/>
          <w:headerReference w:type="default" r:id="rId9"/>
          <w:footerReference w:type="even" r:id="rId10"/>
          <w:footerReference w:type="default" r:id="rId11"/>
          <w:headerReference w:type="first" r:id="rId12"/>
          <w:footerReference w:type="first" r:id="rId13"/>
          <w:pgSz w:w="11906" w:h="16838"/>
          <w:pgMar w:top="1697" w:right="1134" w:bottom="1134" w:left="1134" w:header="567" w:footer="720" w:gutter="0"/>
          <w:pgNumType w:start="1"/>
          <w:cols w:space="720"/>
        </w:sectPr>
      </w:pPr>
      <w:r>
        <w:rPr>
          <w:rFonts w:ascii="Times New Roman" w:hAnsi="Times New Roman" w:cs="Times New Roman"/>
          <w:b/>
          <w:sz w:val="24"/>
          <w:szCs w:val="24"/>
        </w:rPr>
        <w:t xml:space="preserve">Roma, </w:t>
      </w:r>
      <w:r w:rsidR="00BA7E50">
        <w:rPr>
          <w:rFonts w:ascii="Times New Roman" w:hAnsi="Times New Roman" w:cs="Times New Roman"/>
          <w:b/>
          <w:sz w:val="24"/>
          <w:szCs w:val="24"/>
        </w:rPr>
        <w:t>25 maggio 2023</w:t>
      </w:r>
    </w:p>
    <w:p w14:paraId="34A97EF9" w14:textId="1B2F1685" w:rsidR="000C6D5A" w:rsidRPr="00C97DF9" w:rsidRDefault="008B4B2F" w:rsidP="00C97DF9">
      <w:pPr>
        <w:pStyle w:val="Livellonota11"/>
        <w:numPr>
          <w:ilvl w:val="0"/>
          <w:numId w:val="0"/>
        </w:numPr>
        <w:rPr>
          <w:rFonts w:ascii="Times New Roman" w:hAnsi="Times New Roman" w:cs="Times New Roman"/>
          <w:b/>
          <w:sz w:val="24"/>
          <w:szCs w:val="24"/>
        </w:rPr>
      </w:pPr>
      <w:r>
        <w:rPr>
          <w:rFonts w:ascii="Times New Roman" w:eastAsia="Times New Roman" w:hAnsi="Times New Roman" w:cs="Times New Roman"/>
          <w:i/>
          <w:sz w:val="24"/>
          <w:szCs w:val="24"/>
        </w:rPr>
        <w:t>P</w:t>
      </w:r>
      <w:r w:rsidR="002467C0">
        <w:rPr>
          <w:rFonts w:ascii="Times New Roman" w:eastAsia="Times New Roman" w:hAnsi="Times New Roman" w:cs="Times New Roman"/>
          <w:i/>
          <w:sz w:val="24"/>
          <w:szCs w:val="24"/>
        </w:rPr>
        <w:t>remessa</w:t>
      </w:r>
    </w:p>
    <w:p w14:paraId="65DAED17" w14:textId="77777777" w:rsidR="00500583" w:rsidRDefault="00500583" w:rsidP="00251AF7">
      <w:pPr>
        <w:widowControl/>
        <w:shd w:val="clear" w:color="auto" w:fill="FFFFFF"/>
        <w:spacing w:after="0" w:line="360" w:lineRule="auto"/>
        <w:ind w:firstLine="720"/>
        <w:jc w:val="both"/>
        <w:rPr>
          <w:rFonts w:ascii="Times New Roman" w:eastAsia="Times New Roman" w:hAnsi="Times New Roman" w:cs="Times New Roman"/>
          <w:iCs/>
          <w:sz w:val="24"/>
          <w:szCs w:val="24"/>
        </w:rPr>
      </w:pPr>
    </w:p>
    <w:p w14:paraId="1FFC26E9" w14:textId="13635C5C" w:rsidR="0051378F" w:rsidRPr="0051378F" w:rsidRDefault="004E5578" w:rsidP="00251AF7">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4E5578">
        <w:rPr>
          <w:rFonts w:ascii="Times New Roman" w:eastAsia="Times New Roman" w:hAnsi="Times New Roman" w:cs="Times New Roman"/>
          <w:iCs/>
          <w:sz w:val="24"/>
          <w:szCs w:val="24"/>
        </w:rPr>
        <w:t xml:space="preserve">In linea con gli argomenti esposti nelle altre occasioni in cui in questi anni si è espressa, la SVIMEZ ritiene ancora necessario ribadire </w:t>
      </w:r>
      <w:r>
        <w:rPr>
          <w:rFonts w:ascii="Times New Roman" w:eastAsia="Times New Roman" w:hAnsi="Times New Roman" w:cs="Times New Roman"/>
          <w:iCs/>
          <w:sz w:val="24"/>
          <w:szCs w:val="24"/>
        </w:rPr>
        <w:t>che p</w:t>
      </w:r>
      <w:r w:rsidR="0051378F" w:rsidRPr="0051378F">
        <w:rPr>
          <w:rFonts w:ascii="Times New Roman" w:eastAsia="Times New Roman" w:hAnsi="Times New Roman" w:cs="Times New Roman"/>
          <w:iCs/>
          <w:sz w:val="24"/>
          <w:szCs w:val="24"/>
        </w:rPr>
        <w:t xml:space="preserve">er riprendere, oggi, le fila di un dibattito informato e razionale sul regionalismo differenziato </w:t>
      </w:r>
      <w:r w:rsidR="00801CA5">
        <w:rPr>
          <w:rFonts w:ascii="Times New Roman" w:eastAsia="Times New Roman" w:hAnsi="Times New Roman" w:cs="Times New Roman"/>
          <w:iCs/>
          <w:sz w:val="24"/>
          <w:szCs w:val="24"/>
        </w:rPr>
        <w:t>sia</w:t>
      </w:r>
      <w:r w:rsidR="0051378F" w:rsidRPr="0051378F">
        <w:rPr>
          <w:rFonts w:ascii="Times New Roman" w:eastAsia="Times New Roman" w:hAnsi="Times New Roman" w:cs="Times New Roman"/>
          <w:iCs/>
          <w:sz w:val="24"/>
          <w:szCs w:val="24"/>
        </w:rPr>
        <w:t xml:space="preserve"> necessario muovere da due considerazioni.</w:t>
      </w:r>
    </w:p>
    <w:p w14:paraId="5763040A" w14:textId="73E8912C" w:rsidR="00BF607B" w:rsidRPr="00742442" w:rsidRDefault="0051378F" w:rsidP="00251AF7">
      <w:pPr>
        <w:widowControl/>
        <w:shd w:val="clear" w:color="auto" w:fill="FFFFFF"/>
        <w:spacing w:after="0" w:line="360" w:lineRule="auto"/>
        <w:ind w:firstLine="720"/>
        <w:jc w:val="both"/>
        <w:rPr>
          <w:rFonts w:ascii="Times New Roman" w:eastAsia="Times New Roman" w:hAnsi="Times New Roman" w:cs="Times New Roman"/>
          <w:bCs/>
          <w:iCs/>
          <w:sz w:val="24"/>
          <w:szCs w:val="24"/>
        </w:rPr>
      </w:pPr>
      <w:r w:rsidRPr="0051378F">
        <w:rPr>
          <w:rFonts w:ascii="Times New Roman" w:eastAsia="Times New Roman" w:hAnsi="Times New Roman" w:cs="Times New Roman"/>
          <w:iCs/>
          <w:sz w:val="24"/>
          <w:szCs w:val="24"/>
        </w:rPr>
        <w:t>La prima. Le ulteriori forme e condizioni particolari di autonomia previste dall’articolo 116 comma 3 della Costituzione sono</w:t>
      </w:r>
      <w:r w:rsidR="00CD00BA">
        <w:rPr>
          <w:rFonts w:ascii="Times New Roman" w:eastAsia="Times New Roman" w:hAnsi="Times New Roman" w:cs="Times New Roman"/>
          <w:iCs/>
          <w:sz w:val="24"/>
          <w:szCs w:val="24"/>
        </w:rPr>
        <w:t xml:space="preserve"> </w:t>
      </w:r>
      <w:r w:rsidRPr="0051378F">
        <w:rPr>
          <w:rFonts w:ascii="Times New Roman" w:eastAsia="Times New Roman" w:hAnsi="Times New Roman" w:cs="Times New Roman"/>
          <w:iCs/>
          <w:sz w:val="24"/>
          <w:szCs w:val="24"/>
        </w:rPr>
        <w:t>legittime</w:t>
      </w:r>
      <w:r w:rsidR="00CD00BA">
        <w:rPr>
          <w:rFonts w:ascii="Times New Roman" w:eastAsia="Times New Roman" w:hAnsi="Times New Roman" w:cs="Times New Roman"/>
          <w:iCs/>
          <w:sz w:val="24"/>
          <w:szCs w:val="24"/>
        </w:rPr>
        <w:t>, m</w:t>
      </w:r>
      <w:r w:rsidRPr="0051378F">
        <w:rPr>
          <w:rFonts w:ascii="Times New Roman" w:eastAsia="Times New Roman" w:hAnsi="Times New Roman" w:cs="Times New Roman"/>
          <w:iCs/>
          <w:sz w:val="24"/>
          <w:szCs w:val="24"/>
        </w:rPr>
        <w:t xml:space="preserve">a sono parte integrante del Titolo V della Costituzione riformato nel 2001. Le richieste di regionalismo differenziato vanno perciò valutate, nei loro eventuali meriti e limiti, nel contesto di un’attuazione organica, completa, equilibrata, del nuovo Titolo V. </w:t>
      </w:r>
      <w:r w:rsidR="00BF607B" w:rsidRPr="00BF607B">
        <w:rPr>
          <w:rFonts w:ascii="Times New Roman" w:eastAsia="Times New Roman" w:hAnsi="Times New Roman" w:cs="Times New Roman"/>
          <w:iCs/>
          <w:sz w:val="24"/>
          <w:szCs w:val="24"/>
        </w:rPr>
        <w:t>Dunque</w:t>
      </w:r>
      <w:r w:rsidR="00CD00BA">
        <w:rPr>
          <w:rFonts w:ascii="Times New Roman" w:eastAsia="Times New Roman" w:hAnsi="Times New Roman" w:cs="Times New Roman"/>
          <w:iCs/>
          <w:sz w:val="24"/>
          <w:szCs w:val="24"/>
        </w:rPr>
        <w:t>,</w:t>
      </w:r>
      <w:r w:rsidR="00BF607B" w:rsidRPr="00BF607B">
        <w:rPr>
          <w:rFonts w:ascii="Times New Roman" w:eastAsia="Times New Roman" w:hAnsi="Times New Roman" w:cs="Times New Roman"/>
          <w:iCs/>
          <w:sz w:val="24"/>
          <w:szCs w:val="24"/>
        </w:rPr>
        <w:t xml:space="preserve"> per realizzare la </w:t>
      </w:r>
      <w:r w:rsidR="00F519C2">
        <w:rPr>
          <w:rFonts w:ascii="Times New Roman" w:eastAsia="Times New Roman" w:hAnsi="Times New Roman" w:cs="Times New Roman"/>
          <w:iCs/>
          <w:sz w:val="24"/>
          <w:szCs w:val="24"/>
        </w:rPr>
        <w:t>“</w:t>
      </w:r>
      <w:r w:rsidR="00BF607B" w:rsidRPr="00BF607B">
        <w:rPr>
          <w:rFonts w:ascii="Times New Roman" w:eastAsia="Times New Roman" w:hAnsi="Times New Roman" w:cs="Times New Roman"/>
          <w:iCs/>
          <w:sz w:val="24"/>
          <w:szCs w:val="24"/>
        </w:rPr>
        <w:t>compiuta armonia</w:t>
      </w:r>
      <w:r w:rsidR="00F519C2">
        <w:rPr>
          <w:rFonts w:ascii="Times New Roman" w:eastAsia="Times New Roman" w:hAnsi="Times New Roman" w:cs="Times New Roman"/>
          <w:iCs/>
          <w:sz w:val="24"/>
          <w:szCs w:val="24"/>
        </w:rPr>
        <w:t>”</w:t>
      </w:r>
      <w:r w:rsidR="00BF607B" w:rsidRPr="00BF607B">
        <w:rPr>
          <w:rFonts w:ascii="Times New Roman" w:eastAsia="Times New Roman" w:hAnsi="Times New Roman" w:cs="Times New Roman"/>
          <w:iCs/>
          <w:sz w:val="24"/>
          <w:szCs w:val="24"/>
        </w:rPr>
        <w:t xml:space="preserve"> </w:t>
      </w:r>
      <w:r w:rsidR="00BF607B" w:rsidRPr="00742442">
        <w:rPr>
          <w:rFonts w:ascii="Times New Roman" w:eastAsia="Times New Roman" w:hAnsi="Times New Roman" w:cs="Times New Roman"/>
          <w:bCs/>
          <w:iCs/>
          <w:sz w:val="24"/>
          <w:szCs w:val="24"/>
        </w:rPr>
        <w:t>occorre che i</w:t>
      </w:r>
      <w:r w:rsidR="00DF66C9" w:rsidRPr="00742442">
        <w:rPr>
          <w:rFonts w:ascii="Times New Roman" w:eastAsia="Times New Roman" w:hAnsi="Times New Roman" w:cs="Times New Roman"/>
          <w:bCs/>
          <w:iCs/>
          <w:sz w:val="24"/>
          <w:szCs w:val="24"/>
        </w:rPr>
        <w:t xml:space="preserve"> principi introdotti dall’art. </w:t>
      </w:r>
      <w:r w:rsidR="00BF607B" w:rsidRPr="00742442">
        <w:rPr>
          <w:rFonts w:ascii="Times New Roman" w:eastAsia="Times New Roman" w:hAnsi="Times New Roman" w:cs="Times New Roman"/>
          <w:bCs/>
          <w:iCs/>
          <w:sz w:val="24"/>
          <w:szCs w:val="24"/>
        </w:rPr>
        <w:t>119 sia</w:t>
      </w:r>
      <w:r w:rsidR="00DF66C9" w:rsidRPr="00742442">
        <w:rPr>
          <w:rFonts w:ascii="Times New Roman" w:eastAsia="Times New Roman" w:hAnsi="Times New Roman" w:cs="Times New Roman"/>
          <w:bCs/>
          <w:iCs/>
          <w:sz w:val="24"/>
          <w:szCs w:val="24"/>
        </w:rPr>
        <w:t>no</w:t>
      </w:r>
      <w:r w:rsidR="00BF607B" w:rsidRPr="00742442">
        <w:rPr>
          <w:rFonts w:ascii="Times New Roman" w:eastAsia="Times New Roman" w:hAnsi="Times New Roman" w:cs="Times New Roman"/>
          <w:bCs/>
          <w:iCs/>
          <w:sz w:val="24"/>
          <w:szCs w:val="24"/>
        </w:rPr>
        <w:t xml:space="preserve"> </w:t>
      </w:r>
      <w:r w:rsidR="00DF66C9" w:rsidRPr="00742442">
        <w:rPr>
          <w:rFonts w:ascii="Times New Roman" w:eastAsia="Times New Roman" w:hAnsi="Times New Roman" w:cs="Times New Roman"/>
          <w:bCs/>
          <w:iCs/>
          <w:sz w:val="24"/>
          <w:szCs w:val="24"/>
        </w:rPr>
        <w:t xml:space="preserve">resi </w:t>
      </w:r>
      <w:r w:rsidR="00BF607B" w:rsidRPr="00742442">
        <w:rPr>
          <w:rFonts w:ascii="Times New Roman" w:eastAsia="Times New Roman" w:hAnsi="Times New Roman" w:cs="Times New Roman"/>
          <w:bCs/>
          <w:iCs/>
          <w:sz w:val="24"/>
          <w:szCs w:val="24"/>
        </w:rPr>
        <w:t>pienamente operativ</w:t>
      </w:r>
      <w:r w:rsidR="00DF66C9" w:rsidRPr="00742442">
        <w:rPr>
          <w:rFonts w:ascii="Times New Roman" w:eastAsia="Times New Roman" w:hAnsi="Times New Roman" w:cs="Times New Roman"/>
          <w:bCs/>
          <w:iCs/>
          <w:sz w:val="24"/>
          <w:szCs w:val="24"/>
        </w:rPr>
        <w:t>i,</w:t>
      </w:r>
      <w:r w:rsidR="00BF607B" w:rsidRPr="00742442">
        <w:rPr>
          <w:rFonts w:ascii="Times New Roman" w:eastAsia="Times New Roman" w:hAnsi="Times New Roman" w:cs="Times New Roman"/>
          <w:bCs/>
          <w:iCs/>
          <w:sz w:val="24"/>
          <w:szCs w:val="24"/>
        </w:rPr>
        <w:t xml:space="preserve"> il che non è, visto che proprio la legge attuativa (la 42 del 2009)</w:t>
      </w:r>
      <w:r w:rsidR="00F00A58" w:rsidRPr="00742442">
        <w:rPr>
          <w:rFonts w:ascii="Times New Roman" w:eastAsia="Times New Roman" w:hAnsi="Times New Roman" w:cs="Times New Roman"/>
          <w:bCs/>
          <w:iCs/>
          <w:sz w:val="24"/>
          <w:szCs w:val="24"/>
        </w:rPr>
        <w:t>,</w:t>
      </w:r>
      <w:r w:rsidR="00BF607B" w:rsidRPr="00742442">
        <w:rPr>
          <w:rFonts w:ascii="Times New Roman" w:eastAsia="Times New Roman" w:hAnsi="Times New Roman" w:cs="Times New Roman"/>
          <w:bCs/>
          <w:iCs/>
          <w:sz w:val="24"/>
          <w:szCs w:val="24"/>
        </w:rPr>
        <w:t xml:space="preserve"> che mira a regolare il federalismo fiscale</w:t>
      </w:r>
      <w:r w:rsidR="00F00A58" w:rsidRPr="00742442">
        <w:rPr>
          <w:rFonts w:ascii="Times New Roman" w:eastAsia="Times New Roman" w:hAnsi="Times New Roman" w:cs="Times New Roman"/>
          <w:bCs/>
          <w:iCs/>
          <w:sz w:val="24"/>
          <w:szCs w:val="24"/>
        </w:rPr>
        <w:t>,</w:t>
      </w:r>
      <w:r w:rsidR="00BF607B" w:rsidRPr="00742442">
        <w:rPr>
          <w:rFonts w:ascii="Times New Roman" w:eastAsia="Times New Roman" w:hAnsi="Times New Roman" w:cs="Times New Roman"/>
          <w:bCs/>
          <w:iCs/>
          <w:sz w:val="24"/>
          <w:szCs w:val="24"/>
        </w:rPr>
        <w:t xml:space="preserve"> non è stata mai, da allora, attivata. Considerato ciò, il </w:t>
      </w:r>
      <w:proofErr w:type="spellStart"/>
      <w:r w:rsidR="00BF607B" w:rsidRPr="00742442">
        <w:rPr>
          <w:rFonts w:ascii="Times New Roman" w:eastAsia="Times New Roman" w:hAnsi="Times New Roman" w:cs="Times New Roman"/>
          <w:bCs/>
          <w:iCs/>
          <w:sz w:val="24"/>
          <w:szCs w:val="24"/>
        </w:rPr>
        <w:t>DdL</w:t>
      </w:r>
      <w:proofErr w:type="spellEnd"/>
      <w:r w:rsidR="00BF607B" w:rsidRPr="00742442">
        <w:rPr>
          <w:rFonts w:ascii="Times New Roman" w:eastAsia="Times New Roman" w:hAnsi="Times New Roman" w:cs="Times New Roman"/>
          <w:bCs/>
          <w:iCs/>
          <w:sz w:val="24"/>
          <w:szCs w:val="24"/>
        </w:rPr>
        <w:t xml:space="preserve"> in oggetto propone una sorta di avvio </w:t>
      </w:r>
      <w:r w:rsidR="00F00A58" w:rsidRPr="00742442">
        <w:rPr>
          <w:rFonts w:ascii="Times New Roman" w:eastAsia="Times New Roman" w:hAnsi="Times New Roman" w:cs="Times New Roman"/>
          <w:bCs/>
          <w:iCs/>
          <w:sz w:val="24"/>
          <w:szCs w:val="24"/>
        </w:rPr>
        <w:t>“</w:t>
      </w:r>
      <w:r w:rsidR="00BF607B" w:rsidRPr="00742442">
        <w:rPr>
          <w:rFonts w:ascii="Times New Roman" w:eastAsia="Times New Roman" w:hAnsi="Times New Roman" w:cs="Times New Roman"/>
          <w:bCs/>
          <w:iCs/>
          <w:sz w:val="24"/>
          <w:szCs w:val="24"/>
        </w:rPr>
        <w:t>a saldo e stralcio</w:t>
      </w:r>
      <w:r w:rsidR="00F00A58" w:rsidRPr="00742442">
        <w:rPr>
          <w:rFonts w:ascii="Times New Roman" w:eastAsia="Times New Roman" w:hAnsi="Times New Roman" w:cs="Times New Roman"/>
          <w:bCs/>
          <w:iCs/>
          <w:sz w:val="24"/>
          <w:szCs w:val="24"/>
        </w:rPr>
        <w:t>”</w:t>
      </w:r>
      <w:r w:rsidR="00BF607B" w:rsidRPr="00742442">
        <w:rPr>
          <w:rFonts w:ascii="Times New Roman" w:eastAsia="Times New Roman" w:hAnsi="Times New Roman" w:cs="Times New Roman"/>
          <w:bCs/>
          <w:iCs/>
          <w:sz w:val="24"/>
          <w:szCs w:val="24"/>
        </w:rPr>
        <w:t xml:space="preserve"> del percorso per l</w:t>
      </w:r>
      <w:r w:rsidR="00F00A58" w:rsidRPr="00742442">
        <w:rPr>
          <w:rFonts w:ascii="Times New Roman" w:eastAsia="Times New Roman" w:hAnsi="Times New Roman" w:cs="Times New Roman"/>
          <w:bCs/>
          <w:iCs/>
          <w:sz w:val="24"/>
          <w:szCs w:val="24"/>
        </w:rPr>
        <w:t>’</w:t>
      </w:r>
      <w:r w:rsidR="00BF607B" w:rsidRPr="00742442">
        <w:rPr>
          <w:rFonts w:ascii="Times New Roman" w:eastAsia="Times New Roman" w:hAnsi="Times New Roman" w:cs="Times New Roman"/>
          <w:bCs/>
          <w:iCs/>
          <w:sz w:val="24"/>
          <w:szCs w:val="24"/>
        </w:rPr>
        <w:t>Autonomia differenziata che investe l</w:t>
      </w:r>
      <w:r w:rsidR="00F00A58" w:rsidRPr="00742442">
        <w:rPr>
          <w:rFonts w:ascii="Times New Roman" w:eastAsia="Times New Roman" w:hAnsi="Times New Roman" w:cs="Times New Roman"/>
          <w:bCs/>
          <w:iCs/>
          <w:sz w:val="24"/>
          <w:szCs w:val="24"/>
        </w:rPr>
        <w:t>’</w:t>
      </w:r>
      <w:r w:rsidR="00BF607B" w:rsidRPr="00742442">
        <w:rPr>
          <w:rFonts w:ascii="Times New Roman" w:eastAsia="Times New Roman" w:hAnsi="Times New Roman" w:cs="Times New Roman"/>
          <w:bCs/>
          <w:iCs/>
          <w:sz w:val="24"/>
          <w:szCs w:val="24"/>
        </w:rPr>
        <w:t xml:space="preserve">intera gamma delle materie di </w:t>
      </w:r>
      <w:r w:rsidR="00F00A58" w:rsidRPr="00742442">
        <w:rPr>
          <w:rFonts w:ascii="Times New Roman" w:eastAsia="Times New Roman" w:hAnsi="Times New Roman" w:cs="Times New Roman"/>
          <w:bCs/>
          <w:iCs/>
          <w:sz w:val="24"/>
          <w:szCs w:val="24"/>
        </w:rPr>
        <w:t>“</w:t>
      </w:r>
      <w:r w:rsidR="00BF607B" w:rsidRPr="00742442">
        <w:rPr>
          <w:rFonts w:ascii="Times New Roman" w:eastAsia="Times New Roman" w:hAnsi="Times New Roman" w:cs="Times New Roman"/>
          <w:bCs/>
          <w:iCs/>
          <w:sz w:val="24"/>
          <w:szCs w:val="24"/>
        </w:rPr>
        <w:t>legislazione concorrente</w:t>
      </w:r>
      <w:r w:rsidR="00F00A58" w:rsidRPr="00742442">
        <w:rPr>
          <w:rFonts w:ascii="Times New Roman" w:eastAsia="Times New Roman" w:hAnsi="Times New Roman" w:cs="Times New Roman"/>
          <w:bCs/>
          <w:iCs/>
          <w:sz w:val="24"/>
          <w:szCs w:val="24"/>
        </w:rPr>
        <w:t>”</w:t>
      </w:r>
      <w:r w:rsidR="00BF607B" w:rsidRPr="00742442">
        <w:rPr>
          <w:rFonts w:ascii="Times New Roman" w:eastAsia="Times New Roman" w:hAnsi="Times New Roman" w:cs="Times New Roman"/>
          <w:bCs/>
          <w:iCs/>
          <w:sz w:val="24"/>
          <w:szCs w:val="24"/>
        </w:rPr>
        <w:t xml:space="preserve"> elencate dal</w:t>
      </w:r>
      <w:r w:rsidR="00F00A58" w:rsidRPr="00742442">
        <w:rPr>
          <w:rFonts w:ascii="Times New Roman" w:eastAsia="Times New Roman" w:hAnsi="Times New Roman" w:cs="Times New Roman"/>
          <w:bCs/>
          <w:iCs/>
          <w:sz w:val="24"/>
          <w:szCs w:val="24"/>
        </w:rPr>
        <w:t>l’art.</w:t>
      </w:r>
      <w:r w:rsidR="00BF607B" w:rsidRPr="00742442">
        <w:rPr>
          <w:rFonts w:ascii="Times New Roman" w:eastAsia="Times New Roman" w:hAnsi="Times New Roman" w:cs="Times New Roman"/>
          <w:bCs/>
          <w:iCs/>
          <w:sz w:val="24"/>
          <w:szCs w:val="24"/>
        </w:rPr>
        <w:t xml:space="preserve"> 117 comma 3.</w:t>
      </w:r>
      <w:r w:rsidR="00C15C06" w:rsidRPr="00742442">
        <w:rPr>
          <w:rFonts w:ascii="Times New Roman" w:eastAsia="Times New Roman" w:hAnsi="Times New Roman" w:cs="Times New Roman"/>
          <w:bCs/>
          <w:iCs/>
          <w:sz w:val="24"/>
          <w:szCs w:val="24"/>
        </w:rPr>
        <w:t xml:space="preserve"> In altri termini</w:t>
      </w:r>
      <w:r w:rsidR="0087572D" w:rsidRPr="00742442">
        <w:rPr>
          <w:rFonts w:ascii="Times New Roman" w:eastAsia="Times New Roman" w:hAnsi="Times New Roman" w:cs="Times New Roman"/>
          <w:bCs/>
          <w:iCs/>
          <w:sz w:val="24"/>
          <w:szCs w:val="24"/>
        </w:rPr>
        <w:t>,</w:t>
      </w:r>
      <w:r w:rsidR="00C15C06" w:rsidRPr="00742442">
        <w:rPr>
          <w:rFonts w:ascii="Times New Roman" w:eastAsia="Times New Roman" w:hAnsi="Times New Roman" w:cs="Times New Roman"/>
          <w:bCs/>
          <w:iCs/>
          <w:sz w:val="24"/>
          <w:szCs w:val="24"/>
        </w:rPr>
        <w:t xml:space="preserve"> l</w:t>
      </w:r>
      <w:r w:rsidR="00F00A58" w:rsidRPr="00742442">
        <w:rPr>
          <w:rFonts w:ascii="Times New Roman" w:eastAsia="Times New Roman" w:hAnsi="Times New Roman" w:cs="Times New Roman"/>
          <w:bCs/>
          <w:iCs/>
          <w:sz w:val="24"/>
          <w:szCs w:val="24"/>
        </w:rPr>
        <w:t>’</w:t>
      </w:r>
      <w:r w:rsidR="00C15C06" w:rsidRPr="00742442">
        <w:rPr>
          <w:rFonts w:ascii="Times New Roman" w:eastAsia="Times New Roman" w:hAnsi="Times New Roman" w:cs="Times New Roman"/>
          <w:bCs/>
          <w:iCs/>
          <w:sz w:val="24"/>
          <w:szCs w:val="24"/>
        </w:rPr>
        <w:t xml:space="preserve">asimmetria che si chiede di </w:t>
      </w:r>
      <w:r w:rsidR="006B4658" w:rsidRPr="00742442">
        <w:rPr>
          <w:rFonts w:ascii="Times New Roman" w:eastAsia="Times New Roman" w:hAnsi="Times New Roman" w:cs="Times New Roman"/>
          <w:bCs/>
          <w:iCs/>
          <w:sz w:val="24"/>
          <w:szCs w:val="24"/>
        </w:rPr>
        <w:t>introdurre</w:t>
      </w:r>
      <w:r w:rsidR="00C15C06" w:rsidRPr="00742442">
        <w:rPr>
          <w:rFonts w:ascii="Times New Roman" w:eastAsia="Times New Roman" w:hAnsi="Times New Roman" w:cs="Times New Roman"/>
          <w:bCs/>
          <w:iCs/>
          <w:sz w:val="24"/>
          <w:szCs w:val="24"/>
        </w:rPr>
        <w:t xml:space="preserve"> deve essere</w:t>
      </w:r>
      <w:r w:rsidR="006B4658" w:rsidRPr="00742442">
        <w:rPr>
          <w:rFonts w:ascii="Times New Roman" w:eastAsia="Times New Roman" w:hAnsi="Times New Roman" w:cs="Times New Roman"/>
          <w:bCs/>
          <w:iCs/>
          <w:sz w:val="24"/>
          <w:szCs w:val="24"/>
        </w:rPr>
        <w:t>, a nostro avviso,</w:t>
      </w:r>
      <w:r w:rsidR="00C15C06" w:rsidRPr="00742442">
        <w:rPr>
          <w:rFonts w:ascii="Times New Roman" w:eastAsia="Times New Roman" w:hAnsi="Times New Roman" w:cs="Times New Roman"/>
          <w:bCs/>
          <w:iCs/>
          <w:sz w:val="24"/>
          <w:szCs w:val="24"/>
        </w:rPr>
        <w:t xml:space="preserve"> armonicamente calata in un quadro di realizzato </w:t>
      </w:r>
      <w:r w:rsidR="0087572D" w:rsidRPr="00742442">
        <w:rPr>
          <w:rFonts w:ascii="Times New Roman" w:eastAsia="Times New Roman" w:hAnsi="Times New Roman" w:cs="Times New Roman"/>
          <w:bCs/>
          <w:iCs/>
          <w:sz w:val="24"/>
          <w:szCs w:val="24"/>
        </w:rPr>
        <w:t>f</w:t>
      </w:r>
      <w:r w:rsidR="00C15C06" w:rsidRPr="00742442">
        <w:rPr>
          <w:rFonts w:ascii="Times New Roman" w:eastAsia="Times New Roman" w:hAnsi="Times New Roman" w:cs="Times New Roman"/>
          <w:bCs/>
          <w:iCs/>
          <w:sz w:val="24"/>
          <w:szCs w:val="24"/>
        </w:rPr>
        <w:t xml:space="preserve">ederalismo </w:t>
      </w:r>
      <w:r w:rsidR="0087572D" w:rsidRPr="00742442">
        <w:rPr>
          <w:rFonts w:ascii="Times New Roman" w:eastAsia="Times New Roman" w:hAnsi="Times New Roman" w:cs="Times New Roman"/>
          <w:bCs/>
          <w:iCs/>
          <w:sz w:val="24"/>
          <w:szCs w:val="24"/>
        </w:rPr>
        <w:t>f</w:t>
      </w:r>
      <w:r w:rsidR="00C15C06" w:rsidRPr="00742442">
        <w:rPr>
          <w:rFonts w:ascii="Times New Roman" w:eastAsia="Times New Roman" w:hAnsi="Times New Roman" w:cs="Times New Roman"/>
          <w:bCs/>
          <w:iCs/>
          <w:sz w:val="24"/>
          <w:szCs w:val="24"/>
        </w:rPr>
        <w:t>iscale.</w:t>
      </w:r>
    </w:p>
    <w:p w14:paraId="61E0257D" w14:textId="23C4A706" w:rsidR="001D6B5F" w:rsidRDefault="0051378F" w:rsidP="00251AF7">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742442">
        <w:rPr>
          <w:rFonts w:ascii="Times New Roman" w:eastAsia="Times New Roman" w:hAnsi="Times New Roman" w:cs="Times New Roman"/>
          <w:bCs/>
          <w:iCs/>
          <w:sz w:val="24"/>
          <w:szCs w:val="24"/>
        </w:rPr>
        <w:t xml:space="preserve">La seconda. Bisognerebbe chiudere definitivamente con la stagione delle contrapposizioni territoriali. </w:t>
      </w:r>
      <w:r w:rsidRPr="0051378F">
        <w:rPr>
          <w:rFonts w:ascii="Times New Roman" w:eastAsia="Times New Roman" w:hAnsi="Times New Roman" w:cs="Times New Roman"/>
          <w:iCs/>
          <w:sz w:val="24"/>
          <w:szCs w:val="24"/>
        </w:rPr>
        <w:t xml:space="preserve">In realtà, benché questo aspetto sia rimasto dietro le quinte, le </w:t>
      </w:r>
      <w:r w:rsidR="00E761CC">
        <w:rPr>
          <w:rFonts w:ascii="Times New Roman" w:eastAsia="Times New Roman" w:hAnsi="Times New Roman" w:cs="Times New Roman"/>
          <w:iCs/>
          <w:sz w:val="24"/>
          <w:szCs w:val="24"/>
        </w:rPr>
        <w:t xml:space="preserve">proposte di attuazione dell’autonomia differenziata </w:t>
      </w:r>
      <w:r w:rsidRPr="0051378F">
        <w:rPr>
          <w:rFonts w:ascii="Times New Roman" w:eastAsia="Times New Roman" w:hAnsi="Times New Roman" w:cs="Times New Roman"/>
          <w:iCs/>
          <w:sz w:val="24"/>
          <w:szCs w:val="24"/>
        </w:rPr>
        <w:t>hanno ricevuto critiche sul piano tecnico ben più ampie e articolate da diversi organismi estranei alla difesa di particolari interessi territoriali</w:t>
      </w:r>
      <w:r w:rsidR="006B54C9">
        <w:rPr>
          <w:rFonts w:ascii="Times New Roman" w:eastAsia="Times New Roman" w:hAnsi="Times New Roman" w:cs="Times New Roman"/>
          <w:iCs/>
          <w:sz w:val="24"/>
          <w:szCs w:val="24"/>
        </w:rPr>
        <w:t xml:space="preserve">. </w:t>
      </w:r>
      <w:r w:rsidR="00CD575D">
        <w:rPr>
          <w:rFonts w:ascii="Times New Roman" w:eastAsia="Times New Roman" w:hAnsi="Times New Roman" w:cs="Times New Roman"/>
          <w:iCs/>
          <w:sz w:val="24"/>
          <w:szCs w:val="24"/>
        </w:rPr>
        <w:t>Ricordo</w:t>
      </w:r>
      <w:r w:rsidR="0087572D">
        <w:rPr>
          <w:rFonts w:ascii="Times New Roman" w:eastAsia="Times New Roman" w:hAnsi="Times New Roman" w:cs="Times New Roman"/>
          <w:iCs/>
          <w:sz w:val="24"/>
          <w:szCs w:val="24"/>
        </w:rPr>
        <w:t>, in particolare,</w:t>
      </w:r>
      <w:r w:rsidR="00CD575D">
        <w:rPr>
          <w:rFonts w:ascii="Times New Roman" w:eastAsia="Times New Roman" w:hAnsi="Times New Roman" w:cs="Times New Roman"/>
          <w:iCs/>
          <w:sz w:val="24"/>
          <w:szCs w:val="24"/>
        </w:rPr>
        <w:t xml:space="preserve"> le relazioni de</w:t>
      </w:r>
      <w:r w:rsidRPr="0051378F">
        <w:rPr>
          <w:rFonts w:ascii="Times New Roman" w:eastAsia="Times New Roman" w:hAnsi="Times New Roman" w:cs="Times New Roman"/>
          <w:iCs/>
          <w:sz w:val="24"/>
          <w:szCs w:val="24"/>
        </w:rPr>
        <w:t xml:space="preserve">l Dipartimento per gli affari giuridici e legislativi della Presidenza del Consiglio (DAGL) </w:t>
      </w:r>
      <w:r w:rsidR="0087572D">
        <w:rPr>
          <w:rFonts w:ascii="Times New Roman" w:eastAsia="Times New Roman" w:hAnsi="Times New Roman" w:cs="Times New Roman"/>
          <w:iCs/>
          <w:sz w:val="24"/>
          <w:szCs w:val="24"/>
        </w:rPr>
        <w:t>e dell</w:t>
      </w:r>
      <w:r w:rsidRPr="0051378F">
        <w:rPr>
          <w:rFonts w:ascii="Times New Roman" w:eastAsia="Times New Roman" w:hAnsi="Times New Roman" w:cs="Times New Roman"/>
          <w:iCs/>
          <w:sz w:val="24"/>
          <w:szCs w:val="24"/>
        </w:rPr>
        <w:t xml:space="preserve">’Ufficio Parlamentare di Bilancio (UPB) </w:t>
      </w:r>
      <w:r w:rsidR="00C50E45">
        <w:rPr>
          <w:rFonts w:ascii="Times New Roman" w:eastAsia="Times New Roman" w:hAnsi="Times New Roman" w:cs="Times New Roman"/>
          <w:iCs/>
          <w:sz w:val="24"/>
          <w:szCs w:val="24"/>
        </w:rPr>
        <w:t xml:space="preserve">che </w:t>
      </w:r>
      <w:r w:rsidRPr="0051378F">
        <w:rPr>
          <w:rFonts w:ascii="Times New Roman" w:eastAsia="Times New Roman" w:hAnsi="Times New Roman" w:cs="Times New Roman"/>
          <w:iCs/>
          <w:sz w:val="24"/>
          <w:szCs w:val="24"/>
        </w:rPr>
        <w:t xml:space="preserve">hanno bene messo in evidenza, insieme a un lungo elenco di criticità, </w:t>
      </w:r>
      <w:r w:rsidR="0036230F">
        <w:rPr>
          <w:rFonts w:ascii="Times New Roman" w:eastAsia="Times New Roman" w:hAnsi="Times New Roman" w:cs="Times New Roman"/>
          <w:iCs/>
          <w:sz w:val="24"/>
          <w:szCs w:val="24"/>
        </w:rPr>
        <w:t>il</w:t>
      </w:r>
      <w:r w:rsidRPr="0051378F">
        <w:rPr>
          <w:rFonts w:ascii="Times New Roman" w:eastAsia="Times New Roman" w:hAnsi="Times New Roman" w:cs="Times New Roman"/>
          <w:iCs/>
          <w:sz w:val="24"/>
          <w:szCs w:val="24"/>
        </w:rPr>
        <w:t xml:space="preserve"> conflitto tra le richieste di Veneto, Lombardia ed Emilia</w:t>
      </w:r>
      <w:r w:rsidR="005B1773">
        <w:rPr>
          <w:rFonts w:ascii="Times New Roman" w:eastAsia="Times New Roman" w:hAnsi="Times New Roman" w:cs="Times New Roman"/>
          <w:iCs/>
          <w:sz w:val="24"/>
          <w:szCs w:val="24"/>
        </w:rPr>
        <w:t>-</w:t>
      </w:r>
      <w:r w:rsidRPr="0051378F">
        <w:rPr>
          <w:rFonts w:ascii="Times New Roman" w:eastAsia="Times New Roman" w:hAnsi="Times New Roman" w:cs="Times New Roman"/>
          <w:iCs/>
          <w:sz w:val="24"/>
          <w:szCs w:val="24"/>
        </w:rPr>
        <w:t>Romagna e il rispetto dei principi di eguaglianza, perequazione e solidarietà nazionale sanciti dal nuovo Titolo V</w:t>
      </w:r>
      <w:r w:rsidRPr="0051378F">
        <w:rPr>
          <w:rFonts w:ascii="Times New Roman" w:eastAsia="Times New Roman" w:hAnsi="Times New Roman" w:cs="Times New Roman"/>
          <w:iCs/>
          <w:sz w:val="24"/>
          <w:szCs w:val="24"/>
          <w:vertAlign w:val="superscript"/>
        </w:rPr>
        <w:footnoteReference w:id="1"/>
      </w:r>
      <w:r w:rsidRPr="0051378F">
        <w:rPr>
          <w:rFonts w:ascii="Times New Roman" w:eastAsia="Times New Roman" w:hAnsi="Times New Roman" w:cs="Times New Roman"/>
          <w:iCs/>
          <w:sz w:val="24"/>
          <w:szCs w:val="24"/>
        </w:rPr>
        <w:t xml:space="preserve">. </w:t>
      </w:r>
    </w:p>
    <w:p w14:paraId="38FD9F4B" w14:textId="77777777" w:rsidR="001D093E" w:rsidRDefault="001D6B5F"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Alla luce di queste circostanziate critiche, cade </w:t>
      </w:r>
      <w:r w:rsidRPr="0051378F">
        <w:rPr>
          <w:rFonts w:ascii="Times New Roman" w:eastAsia="Times New Roman" w:hAnsi="Times New Roman" w:cs="Times New Roman"/>
          <w:iCs/>
          <w:sz w:val="24"/>
          <w:szCs w:val="24"/>
        </w:rPr>
        <w:t xml:space="preserve">la tesi che l’opposizione alle richieste del </w:t>
      </w:r>
      <w:r w:rsidR="00427112">
        <w:rPr>
          <w:rFonts w:ascii="Times New Roman" w:eastAsia="Times New Roman" w:hAnsi="Times New Roman" w:cs="Times New Roman"/>
          <w:iCs/>
          <w:sz w:val="24"/>
          <w:szCs w:val="24"/>
        </w:rPr>
        <w:t>“f</w:t>
      </w:r>
      <w:r w:rsidRPr="0051378F">
        <w:rPr>
          <w:rFonts w:ascii="Times New Roman" w:eastAsia="Times New Roman" w:hAnsi="Times New Roman" w:cs="Times New Roman"/>
          <w:iCs/>
          <w:sz w:val="24"/>
          <w:szCs w:val="24"/>
        </w:rPr>
        <w:t>ronte del Sì</w:t>
      </w:r>
      <w:r w:rsidR="00427112">
        <w:rPr>
          <w:rFonts w:ascii="Times New Roman" w:eastAsia="Times New Roman" w:hAnsi="Times New Roman" w:cs="Times New Roman"/>
          <w:iCs/>
          <w:sz w:val="24"/>
          <w:szCs w:val="24"/>
        </w:rPr>
        <w:t>”</w:t>
      </w:r>
      <w:r w:rsidRPr="0051378F">
        <w:rPr>
          <w:rFonts w:ascii="Times New Roman" w:eastAsia="Times New Roman" w:hAnsi="Times New Roman" w:cs="Times New Roman"/>
          <w:iCs/>
          <w:sz w:val="24"/>
          <w:szCs w:val="24"/>
        </w:rPr>
        <w:t xml:space="preserve"> ven</w:t>
      </w:r>
      <w:r>
        <w:rPr>
          <w:rFonts w:ascii="Times New Roman" w:eastAsia="Times New Roman" w:hAnsi="Times New Roman" w:cs="Times New Roman"/>
          <w:iCs/>
          <w:sz w:val="24"/>
          <w:szCs w:val="24"/>
        </w:rPr>
        <w:t>ga</w:t>
      </w:r>
      <w:r w:rsidRPr="0051378F">
        <w:rPr>
          <w:rFonts w:ascii="Times New Roman" w:eastAsia="Times New Roman" w:hAnsi="Times New Roman" w:cs="Times New Roman"/>
          <w:iCs/>
          <w:sz w:val="24"/>
          <w:szCs w:val="24"/>
        </w:rPr>
        <w:t xml:space="preserve"> da un </w:t>
      </w:r>
      <w:r w:rsidR="00427112">
        <w:rPr>
          <w:rFonts w:ascii="Times New Roman" w:eastAsia="Times New Roman" w:hAnsi="Times New Roman" w:cs="Times New Roman"/>
          <w:iCs/>
          <w:sz w:val="24"/>
          <w:szCs w:val="24"/>
        </w:rPr>
        <w:t>“</w:t>
      </w:r>
      <w:r w:rsidRPr="0051378F">
        <w:rPr>
          <w:rFonts w:ascii="Times New Roman" w:eastAsia="Times New Roman" w:hAnsi="Times New Roman" w:cs="Times New Roman"/>
          <w:iCs/>
          <w:sz w:val="24"/>
          <w:szCs w:val="24"/>
        </w:rPr>
        <w:t>fronte del No</w:t>
      </w:r>
      <w:r w:rsidR="00427112">
        <w:rPr>
          <w:rFonts w:ascii="Times New Roman" w:eastAsia="Times New Roman" w:hAnsi="Times New Roman" w:cs="Times New Roman"/>
          <w:iCs/>
          <w:sz w:val="24"/>
          <w:szCs w:val="24"/>
        </w:rPr>
        <w:t>”</w:t>
      </w:r>
      <w:r w:rsidRPr="0051378F">
        <w:rPr>
          <w:rFonts w:ascii="Times New Roman" w:eastAsia="Times New Roman" w:hAnsi="Times New Roman" w:cs="Times New Roman"/>
          <w:iCs/>
          <w:sz w:val="24"/>
          <w:szCs w:val="24"/>
        </w:rPr>
        <w:t xml:space="preserve"> radicato territorialmente a Sud, nemico dell’efficienza e del cambiamento</w:t>
      </w:r>
      <w:r w:rsidR="00427112">
        <w:rPr>
          <w:rFonts w:ascii="Times New Roman" w:eastAsia="Times New Roman" w:hAnsi="Times New Roman" w:cs="Times New Roman"/>
          <w:iCs/>
          <w:sz w:val="24"/>
          <w:szCs w:val="24"/>
        </w:rPr>
        <w:t>.</w:t>
      </w:r>
    </w:p>
    <w:p w14:paraId="3CA8DE87" w14:textId="74AD575E" w:rsidR="006D306F" w:rsidRDefault="006D306F"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6D306F">
        <w:rPr>
          <w:rFonts w:ascii="Times New Roman" w:eastAsia="Times New Roman" w:hAnsi="Times New Roman" w:cs="Times New Roman"/>
          <w:iCs/>
          <w:sz w:val="24"/>
          <w:szCs w:val="24"/>
        </w:rPr>
        <w:t>Da ultimo, ieri il Country Report della Commissione, afferma che “.</w:t>
      </w:r>
      <w:r w:rsidR="00973074">
        <w:rPr>
          <w:rFonts w:ascii="Times New Roman" w:eastAsia="Times New Roman" w:hAnsi="Times New Roman" w:cs="Times New Roman"/>
          <w:iCs/>
          <w:sz w:val="24"/>
          <w:szCs w:val="24"/>
        </w:rPr>
        <w:t>.</w:t>
      </w:r>
      <w:r w:rsidRPr="006D306F">
        <w:rPr>
          <w:rFonts w:ascii="Times New Roman" w:eastAsia="Times New Roman" w:hAnsi="Times New Roman" w:cs="Times New Roman"/>
          <w:iCs/>
          <w:sz w:val="24"/>
          <w:szCs w:val="24"/>
        </w:rPr>
        <w:t>.</w:t>
      </w:r>
      <w:r w:rsidR="00973074">
        <w:rPr>
          <w:rFonts w:ascii="Times New Roman" w:eastAsia="Times New Roman" w:hAnsi="Times New Roman" w:cs="Times New Roman"/>
          <w:iCs/>
          <w:sz w:val="24"/>
          <w:szCs w:val="24"/>
        </w:rPr>
        <w:t xml:space="preserve"> </w:t>
      </w:r>
      <w:r w:rsidRPr="006D306F">
        <w:rPr>
          <w:rFonts w:ascii="Times New Roman" w:eastAsia="Times New Roman" w:hAnsi="Times New Roman" w:cs="Times New Roman"/>
          <w:i/>
          <w:iCs/>
          <w:sz w:val="24"/>
          <w:szCs w:val="24"/>
        </w:rPr>
        <w:t>senza risorse aggiuntive, potrebbe risultare difficile fornire gli stessi livelli essenziali di servizi in regioni storicamente a bassa spesa, anche per la mancanza di un meccanismo perequativo. Nel complesso, la riforma prevista dalla nuova legge quadro rischia di mettere a repentaglio la capacità del governo di indirizzare la spesa pubblica. Ciò potrebbe avere un impatto negativo sulla qualità delle finanze pubbliche italiane e sulle disparità regionali</w:t>
      </w:r>
      <w:r w:rsidRPr="006D306F">
        <w:rPr>
          <w:rFonts w:ascii="Times New Roman" w:eastAsia="Times New Roman" w:hAnsi="Times New Roman" w:cs="Times New Roman"/>
          <w:iCs/>
          <w:sz w:val="24"/>
          <w:szCs w:val="24"/>
        </w:rPr>
        <w:t xml:space="preserve">.”. </w:t>
      </w:r>
    </w:p>
    <w:p w14:paraId="68E0D35E" w14:textId="77777777" w:rsidR="00801CA5" w:rsidRDefault="00801CA5" w:rsidP="006D306F">
      <w:pPr>
        <w:widowControl/>
        <w:shd w:val="clear" w:color="auto" w:fill="FFFFFF"/>
        <w:spacing w:after="0" w:line="360" w:lineRule="auto"/>
        <w:jc w:val="both"/>
        <w:rPr>
          <w:rFonts w:ascii="Times New Roman" w:eastAsia="Times New Roman" w:hAnsi="Times New Roman" w:cs="Times New Roman"/>
          <w:iCs/>
          <w:sz w:val="24"/>
          <w:szCs w:val="24"/>
        </w:rPr>
      </w:pPr>
    </w:p>
    <w:p w14:paraId="7CB2BA18" w14:textId="77777777" w:rsidR="008C3488" w:rsidRDefault="008C3488" w:rsidP="006D306F">
      <w:pPr>
        <w:widowControl/>
        <w:shd w:val="clear" w:color="auto" w:fill="FFFFFF"/>
        <w:spacing w:after="0" w:line="360" w:lineRule="auto"/>
        <w:jc w:val="both"/>
        <w:rPr>
          <w:rFonts w:ascii="Times New Roman" w:eastAsia="Times New Roman" w:hAnsi="Times New Roman" w:cs="Times New Roman"/>
          <w:iCs/>
          <w:sz w:val="24"/>
          <w:szCs w:val="24"/>
        </w:rPr>
      </w:pPr>
    </w:p>
    <w:p w14:paraId="22F5AB4C" w14:textId="77777777" w:rsidR="00400F87" w:rsidRPr="00400F87" w:rsidRDefault="00400F87" w:rsidP="00251AF7">
      <w:pPr>
        <w:widowControl/>
        <w:shd w:val="clear" w:color="auto" w:fill="FFFFFF"/>
        <w:spacing w:after="0" w:line="360" w:lineRule="auto"/>
        <w:jc w:val="both"/>
        <w:rPr>
          <w:rFonts w:ascii="Times New Roman" w:eastAsia="Times New Roman" w:hAnsi="Times New Roman" w:cs="Times New Roman"/>
          <w:i/>
          <w:sz w:val="24"/>
          <w:szCs w:val="24"/>
        </w:rPr>
      </w:pPr>
      <w:bookmarkStart w:id="0" w:name="_Toc132899569"/>
      <w:r w:rsidRPr="00400F87">
        <w:rPr>
          <w:rFonts w:ascii="Times New Roman" w:eastAsia="Times New Roman" w:hAnsi="Times New Roman" w:cs="Times New Roman"/>
          <w:i/>
          <w:sz w:val="24"/>
          <w:szCs w:val="24"/>
        </w:rPr>
        <w:t>I rischi dell’autonomia differenziata: imprese e diritti di cittadinanza</w:t>
      </w:r>
      <w:bookmarkEnd w:id="0"/>
      <w:r w:rsidRPr="00400F87">
        <w:rPr>
          <w:rFonts w:ascii="Times New Roman" w:eastAsia="Times New Roman" w:hAnsi="Times New Roman" w:cs="Times New Roman"/>
          <w:i/>
          <w:sz w:val="24"/>
          <w:szCs w:val="24"/>
        </w:rPr>
        <w:t xml:space="preserve"> </w:t>
      </w:r>
    </w:p>
    <w:p w14:paraId="3AB2D52B" w14:textId="77777777" w:rsidR="00801CA5" w:rsidRPr="006D306F" w:rsidRDefault="00801CA5" w:rsidP="006D306F">
      <w:pPr>
        <w:widowControl/>
        <w:shd w:val="clear" w:color="auto" w:fill="FFFFFF"/>
        <w:spacing w:after="0" w:line="360" w:lineRule="auto"/>
        <w:jc w:val="both"/>
        <w:rPr>
          <w:rFonts w:ascii="Times New Roman" w:eastAsia="Times New Roman" w:hAnsi="Times New Roman" w:cs="Times New Roman"/>
          <w:iCs/>
          <w:sz w:val="24"/>
          <w:szCs w:val="24"/>
        </w:rPr>
      </w:pPr>
    </w:p>
    <w:p w14:paraId="783148D2" w14:textId="77777777" w:rsidR="001D093E" w:rsidRDefault="00CC092A"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CC092A">
        <w:rPr>
          <w:rFonts w:ascii="Times New Roman" w:eastAsia="Times New Roman" w:hAnsi="Times New Roman" w:cs="Times New Roman"/>
          <w:iCs/>
          <w:sz w:val="24"/>
          <w:szCs w:val="24"/>
        </w:rPr>
        <w:t xml:space="preserve">Con il </w:t>
      </w:r>
      <w:proofErr w:type="spellStart"/>
      <w:r w:rsidR="00377DD0">
        <w:rPr>
          <w:rFonts w:ascii="Times New Roman" w:eastAsia="Times New Roman" w:hAnsi="Times New Roman" w:cs="Times New Roman"/>
          <w:iCs/>
          <w:sz w:val="24"/>
          <w:szCs w:val="24"/>
        </w:rPr>
        <w:t>DdL</w:t>
      </w:r>
      <w:proofErr w:type="spellEnd"/>
      <w:r w:rsidRPr="00CC092A">
        <w:rPr>
          <w:rFonts w:ascii="Times New Roman" w:eastAsia="Times New Roman" w:hAnsi="Times New Roman" w:cs="Times New Roman"/>
          <w:iCs/>
          <w:sz w:val="24"/>
          <w:szCs w:val="24"/>
        </w:rPr>
        <w:t xml:space="preserve"> Calderoli si va </w:t>
      </w:r>
      <w:r>
        <w:rPr>
          <w:rFonts w:ascii="Times New Roman" w:eastAsia="Times New Roman" w:hAnsi="Times New Roman" w:cs="Times New Roman"/>
          <w:iCs/>
          <w:sz w:val="24"/>
          <w:szCs w:val="24"/>
        </w:rPr>
        <w:t xml:space="preserve">potenzialmente </w:t>
      </w:r>
      <w:r w:rsidRPr="00CC092A">
        <w:rPr>
          <w:rFonts w:ascii="Times New Roman" w:eastAsia="Times New Roman" w:hAnsi="Times New Roman" w:cs="Times New Roman"/>
          <w:iCs/>
          <w:sz w:val="24"/>
          <w:szCs w:val="24"/>
        </w:rPr>
        <w:t>verso un’attuazione “integrale” delle proposte di autonomia: la possibilità di chiedere il decentramento di tutte le materie previste, compresa l’istruzione</w:t>
      </w:r>
      <w:r w:rsidR="00897EC6">
        <w:rPr>
          <w:rFonts w:ascii="Times New Roman" w:eastAsia="Times New Roman" w:hAnsi="Times New Roman" w:cs="Times New Roman"/>
          <w:iCs/>
          <w:sz w:val="24"/>
          <w:szCs w:val="24"/>
        </w:rPr>
        <w:t>, senza</w:t>
      </w:r>
      <w:r w:rsidR="009B4F75">
        <w:rPr>
          <w:rFonts w:ascii="Times New Roman" w:eastAsia="Times New Roman" w:hAnsi="Times New Roman" w:cs="Times New Roman"/>
          <w:iCs/>
          <w:sz w:val="24"/>
          <w:szCs w:val="24"/>
        </w:rPr>
        <w:t xml:space="preserve"> </w:t>
      </w:r>
      <w:r w:rsidR="001E5F61" w:rsidRPr="001E5F61">
        <w:rPr>
          <w:rFonts w:ascii="Times New Roman" w:eastAsia="Times New Roman" w:hAnsi="Times New Roman" w:cs="Times New Roman"/>
          <w:iCs/>
          <w:sz w:val="24"/>
          <w:szCs w:val="24"/>
        </w:rPr>
        <w:t>l’individuazione puntuale di criteri di accesso</w:t>
      </w:r>
      <w:r w:rsidRPr="00CC092A">
        <w:rPr>
          <w:rFonts w:ascii="Times New Roman" w:eastAsia="Times New Roman" w:hAnsi="Times New Roman" w:cs="Times New Roman"/>
          <w:iCs/>
          <w:sz w:val="24"/>
          <w:szCs w:val="24"/>
        </w:rPr>
        <w:t>; l’</w:t>
      </w:r>
      <w:proofErr w:type="spellStart"/>
      <w:r w:rsidRPr="00CC092A">
        <w:rPr>
          <w:rFonts w:ascii="Times New Roman" w:eastAsia="Times New Roman" w:hAnsi="Times New Roman" w:cs="Times New Roman"/>
          <w:iCs/>
          <w:sz w:val="24"/>
          <w:szCs w:val="24"/>
        </w:rPr>
        <w:t>inemendabilità</w:t>
      </w:r>
      <w:proofErr w:type="spellEnd"/>
      <w:r w:rsidRPr="00CC092A">
        <w:rPr>
          <w:rFonts w:ascii="Times New Roman" w:eastAsia="Times New Roman" w:hAnsi="Times New Roman" w:cs="Times New Roman"/>
          <w:iCs/>
          <w:sz w:val="24"/>
          <w:szCs w:val="24"/>
        </w:rPr>
        <w:t xml:space="preserve"> da parte del Parlamento delle intese Stato-Regione; il finanziamento delle nuove competenze regionali extra-</w:t>
      </w:r>
      <w:proofErr w:type="spellStart"/>
      <w:r w:rsidRPr="00CC092A">
        <w:rPr>
          <w:rFonts w:ascii="Times New Roman" w:eastAsia="Times New Roman" w:hAnsi="Times New Roman" w:cs="Times New Roman"/>
          <w:iCs/>
          <w:sz w:val="24"/>
          <w:szCs w:val="24"/>
        </w:rPr>
        <w:t>Lep</w:t>
      </w:r>
      <w:proofErr w:type="spellEnd"/>
      <w:r w:rsidRPr="00CC092A">
        <w:rPr>
          <w:rFonts w:ascii="Times New Roman" w:eastAsia="Times New Roman" w:hAnsi="Times New Roman" w:cs="Times New Roman"/>
          <w:iCs/>
          <w:sz w:val="24"/>
          <w:szCs w:val="24"/>
        </w:rPr>
        <w:t xml:space="preserve"> sulla base della spesa storica; la previsione di una definizione dei Livelli essenziali delle Prestazioni entro 12 mesi ma a invarianza di spesa. </w:t>
      </w:r>
    </w:p>
    <w:p w14:paraId="2A01CB70" w14:textId="77777777" w:rsidR="001D093E" w:rsidRDefault="00CC092A"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8E21BB">
        <w:rPr>
          <w:rFonts w:ascii="Times New Roman" w:eastAsia="Times New Roman" w:hAnsi="Times New Roman" w:cs="Times New Roman"/>
          <w:iCs/>
          <w:sz w:val="24"/>
          <w:szCs w:val="24"/>
        </w:rPr>
        <w:t>Si tornerebbe, in sintesi, alle proposte di cinque anni fa, rimuovendo quanto avvenuto sino ad oggi sia nel contesto economico e sociale del Paese (Pandemia, PNRR e ora gli effetti della guerra in Ucraina) sia negli approfondimenti tecnici sulle precedenti versioni dell’autonomia.</w:t>
      </w:r>
      <w:r w:rsidRPr="00CC092A">
        <w:rPr>
          <w:rFonts w:ascii="Times New Roman" w:eastAsia="Times New Roman" w:hAnsi="Times New Roman" w:cs="Times New Roman"/>
          <w:iCs/>
          <w:sz w:val="24"/>
          <w:szCs w:val="24"/>
        </w:rPr>
        <w:t xml:space="preserve"> </w:t>
      </w:r>
    </w:p>
    <w:p w14:paraId="542E01D8" w14:textId="77777777" w:rsidR="001D093E" w:rsidRDefault="00CC092A"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CC092A">
        <w:rPr>
          <w:rFonts w:ascii="Times New Roman" w:eastAsia="Times New Roman" w:hAnsi="Times New Roman" w:cs="Times New Roman"/>
          <w:iCs/>
          <w:sz w:val="24"/>
          <w:szCs w:val="24"/>
        </w:rPr>
        <w:t xml:space="preserve">Senza neanche recepire le indicazioni della Commissione istituita dalla Ministra Gelmini presieduta dal compianto prof. Beniamino Caravita che aveva chiaramente stigmatizzato il rischio che la devoluzione di tutte le competenze richieste avrebbe determinato non autonomie differenziate, ma vere </w:t>
      </w:r>
      <w:r w:rsidR="00435BEE">
        <w:rPr>
          <w:rFonts w:ascii="Times New Roman" w:eastAsia="Times New Roman" w:hAnsi="Times New Roman" w:cs="Times New Roman"/>
          <w:iCs/>
          <w:sz w:val="24"/>
          <w:szCs w:val="24"/>
        </w:rPr>
        <w:t xml:space="preserve">e </w:t>
      </w:r>
      <w:r w:rsidRPr="00CC092A">
        <w:rPr>
          <w:rFonts w:ascii="Times New Roman" w:eastAsia="Times New Roman" w:hAnsi="Times New Roman" w:cs="Times New Roman"/>
          <w:iCs/>
          <w:sz w:val="24"/>
          <w:szCs w:val="24"/>
        </w:rPr>
        <w:t xml:space="preserve">proprie nuove Regioni “speciali”. </w:t>
      </w:r>
    </w:p>
    <w:p w14:paraId="576B19C0" w14:textId="77777777" w:rsidR="001D093E" w:rsidRDefault="00F0553E"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F0553E">
        <w:rPr>
          <w:rFonts w:ascii="Times New Roman" w:eastAsia="Times New Roman" w:hAnsi="Times New Roman" w:cs="Times New Roman"/>
          <w:iCs/>
          <w:sz w:val="24"/>
          <w:szCs w:val="24"/>
        </w:rPr>
        <w:t xml:space="preserve">Ciò appare ancora più anacronistico se si considerano i due grandi </w:t>
      </w:r>
      <w:r w:rsidRPr="00F0553E">
        <w:rPr>
          <w:rFonts w:ascii="Times New Roman" w:eastAsia="Times New Roman" w:hAnsi="Times New Roman" w:cs="Times New Roman"/>
          <w:i/>
          <w:sz w:val="24"/>
          <w:szCs w:val="24"/>
        </w:rPr>
        <w:t>shock</w:t>
      </w:r>
      <w:r w:rsidRPr="00F0553E">
        <w:rPr>
          <w:rFonts w:ascii="Times New Roman" w:eastAsia="Times New Roman" w:hAnsi="Times New Roman" w:cs="Times New Roman"/>
          <w:iCs/>
          <w:sz w:val="24"/>
          <w:szCs w:val="24"/>
        </w:rPr>
        <w:t xml:space="preserve"> (Covid e invasione </w:t>
      </w:r>
      <w:r w:rsidR="002F75CF">
        <w:rPr>
          <w:rFonts w:ascii="Times New Roman" w:eastAsia="Times New Roman" w:hAnsi="Times New Roman" w:cs="Times New Roman"/>
          <w:iCs/>
          <w:sz w:val="24"/>
          <w:szCs w:val="24"/>
        </w:rPr>
        <w:t>dell’</w:t>
      </w:r>
      <w:r w:rsidRPr="00F0553E">
        <w:rPr>
          <w:rFonts w:ascii="Times New Roman" w:eastAsia="Times New Roman" w:hAnsi="Times New Roman" w:cs="Times New Roman"/>
          <w:iCs/>
          <w:sz w:val="24"/>
          <w:szCs w:val="24"/>
        </w:rPr>
        <w:t xml:space="preserve">Ucraina) che hanno colpito l’economia e la società italiana e internazionale. Il Paese è stato colpito, infatti, </w:t>
      </w:r>
      <w:r w:rsidR="002F75CF">
        <w:rPr>
          <w:rFonts w:ascii="Times New Roman" w:eastAsia="Times New Roman" w:hAnsi="Times New Roman" w:cs="Times New Roman"/>
          <w:iCs/>
          <w:sz w:val="24"/>
          <w:szCs w:val="24"/>
        </w:rPr>
        <w:t>negli</w:t>
      </w:r>
      <w:r w:rsidRPr="00F0553E">
        <w:rPr>
          <w:rFonts w:ascii="Times New Roman" w:eastAsia="Times New Roman" w:hAnsi="Times New Roman" w:cs="Times New Roman"/>
          <w:iCs/>
          <w:sz w:val="24"/>
          <w:szCs w:val="24"/>
        </w:rPr>
        <w:t xml:space="preserve"> anni trascorsi dall’approvazione dei referendum sull’autonomia promossi dal Veneto e dalla Lombardia, da </w:t>
      </w:r>
      <w:r w:rsidRPr="00F0553E">
        <w:rPr>
          <w:rFonts w:ascii="Times New Roman" w:eastAsia="Times New Roman" w:hAnsi="Times New Roman" w:cs="Times New Roman"/>
          <w:i/>
          <w:sz w:val="24"/>
          <w:szCs w:val="24"/>
        </w:rPr>
        <w:t>shock</w:t>
      </w:r>
      <w:r w:rsidRPr="00F0553E">
        <w:rPr>
          <w:rFonts w:ascii="Times New Roman" w:eastAsia="Times New Roman" w:hAnsi="Times New Roman" w:cs="Times New Roman"/>
          <w:iCs/>
          <w:sz w:val="24"/>
          <w:szCs w:val="24"/>
        </w:rPr>
        <w:t xml:space="preserve"> globali che </w:t>
      </w:r>
      <w:r w:rsidR="00435BEE">
        <w:rPr>
          <w:rFonts w:ascii="Times New Roman" w:eastAsia="Times New Roman" w:hAnsi="Times New Roman" w:cs="Times New Roman"/>
          <w:iCs/>
          <w:sz w:val="24"/>
          <w:szCs w:val="24"/>
        </w:rPr>
        <w:t xml:space="preserve">hanno </w:t>
      </w:r>
      <w:r w:rsidRPr="00F0553E">
        <w:rPr>
          <w:rFonts w:ascii="Times New Roman" w:eastAsia="Times New Roman" w:hAnsi="Times New Roman" w:cs="Times New Roman"/>
          <w:iCs/>
          <w:sz w:val="24"/>
          <w:szCs w:val="24"/>
        </w:rPr>
        <w:t>fatto emergere i limiti di risposte frammentate a livello territoriale.</w:t>
      </w:r>
    </w:p>
    <w:p w14:paraId="1B5A2012" w14:textId="77777777" w:rsidR="001D093E" w:rsidRDefault="00F0553E"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F0553E">
        <w:rPr>
          <w:rFonts w:ascii="Times New Roman" w:eastAsia="Times New Roman" w:hAnsi="Times New Roman" w:cs="Times New Roman"/>
          <w:iCs/>
          <w:sz w:val="24"/>
          <w:szCs w:val="24"/>
        </w:rPr>
        <w:t xml:space="preserve">L’autonomia differenziata delineata dal Governo espone dunque l’intero Paese ai rischi di un indebolimento della capacità competitiva per effetto di una frammentazione delle politiche pubbliche. Si delinea in sostanza uno scenario di crescente “specialità” delle regioni a statuto ordinario con </w:t>
      </w:r>
      <w:r w:rsidR="002E7DBA">
        <w:rPr>
          <w:rFonts w:ascii="Times New Roman" w:eastAsia="Times New Roman" w:hAnsi="Times New Roman" w:cs="Times New Roman"/>
          <w:iCs/>
          <w:sz w:val="24"/>
          <w:szCs w:val="24"/>
        </w:rPr>
        <w:t>l</w:t>
      </w:r>
      <w:r w:rsidRPr="00F0553E">
        <w:rPr>
          <w:rFonts w:ascii="Times New Roman" w:eastAsia="Times New Roman" w:hAnsi="Times New Roman" w:cs="Times New Roman"/>
          <w:iCs/>
          <w:sz w:val="24"/>
          <w:szCs w:val="24"/>
        </w:rPr>
        <w:t>a conseguente impossibilità di definire politiche coordinate per la crescita e il rafforzamento del sistema delle imprese. Con riferimento specifico all</w:t>
      </w:r>
      <w:r w:rsidR="002E7DBA" w:rsidRPr="001D093E">
        <w:rPr>
          <w:rFonts w:ascii="Times New Roman" w:eastAsia="Times New Roman" w:hAnsi="Times New Roman" w:cs="Times New Roman"/>
          <w:iCs/>
          <w:sz w:val="24"/>
          <w:szCs w:val="24"/>
        </w:rPr>
        <w:t>e</w:t>
      </w:r>
      <w:r w:rsidRPr="00F0553E">
        <w:rPr>
          <w:rFonts w:ascii="Times New Roman" w:eastAsia="Times New Roman" w:hAnsi="Times New Roman" w:cs="Times New Roman"/>
          <w:iCs/>
          <w:sz w:val="24"/>
          <w:szCs w:val="24"/>
        </w:rPr>
        <w:t xml:space="preserve"> Regioni del Mezzogiorno</w:t>
      </w:r>
      <w:r w:rsidR="00472BA4" w:rsidRPr="001D093E">
        <w:rPr>
          <w:rFonts w:ascii="Times New Roman" w:eastAsia="Times New Roman" w:hAnsi="Times New Roman" w:cs="Times New Roman"/>
          <w:iCs/>
          <w:sz w:val="24"/>
          <w:szCs w:val="24"/>
        </w:rPr>
        <w:t>,</w:t>
      </w:r>
      <w:r w:rsidR="00F44DEC" w:rsidRPr="001D093E">
        <w:rPr>
          <w:rFonts w:ascii="Times New Roman" w:eastAsia="Times New Roman" w:hAnsi="Times New Roman" w:cs="Times New Roman"/>
          <w:iCs/>
          <w:sz w:val="24"/>
          <w:szCs w:val="24"/>
        </w:rPr>
        <w:t xml:space="preserve"> </w:t>
      </w:r>
      <w:r w:rsidRPr="00F0553E">
        <w:rPr>
          <w:rFonts w:ascii="Times New Roman" w:eastAsia="Times New Roman" w:hAnsi="Times New Roman" w:cs="Times New Roman"/>
          <w:iCs/>
          <w:sz w:val="24"/>
          <w:szCs w:val="24"/>
        </w:rPr>
        <w:t>a questo quadro di frammentazione</w:t>
      </w:r>
      <w:r w:rsidR="00472BA4" w:rsidRPr="001D093E">
        <w:rPr>
          <w:rFonts w:ascii="Times New Roman" w:eastAsia="Times New Roman" w:hAnsi="Times New Roman" w:cs="Times New Roman"/>
          <w:iCs/>
          <w:sz w:val="24"/>
          <w:szCs w:val="24"/>
        </w:rPr>
        <w:t>,</w:t>
      </w:r>
      <w:r w:rsidRPr="00F0553E">
        <w:rPr>
          <w:rFonts w:ascii="Times New Roman" w:eastAsia="Times New Roman" w:hAnsi="Times New Roman" w:cs="Times New Roman"/>
          <w:iCs/>
          <w:sz w:val="24"/>
          <w:szCs w:val="24"/>
        </w:rPr>
        <w:t xml:space="preserve"> si aggiungono i rischi di un “congelamento” dei divari di spesa pro capite già presenti e di un indebolimento delle politiche nazionali tese alla </w:t>
      </w:r>
      <w:r w:rsidR="007B4FF6" w:rsidRPr="001D093E">
        <w:rPr>
          <w:rFonts w:ascii="Times New Roman" w:eastAsia="Times New Roman" w:hAnsi="Times New Roman" w:cs="Times New Roman"/>
          <w:iCs/>
          <w:sz w:val="24"/>
          <w:szCs w:val="24"/>
        </w:rPr>
        <w:t>rimozione dei divari infrastrutturali e di offerta dei servizi</w:t>
      </w:r>
      <w:r w:rsidRPr="00F0553E">
        <w:rPr>
          <w:rFonts w:ascii="Times New Roman" w:eastAsia="Times New Roman" w:hAnsi="Times New Roman" w:cs="Times New Roman"/>
          <w:iCs/>
          <w:sz w:val="24"/>
          <w:szCs w:val="24"/>
        </w:rPr>
        <w:t xml:space="preserve">. </w:t>
      </w:r>
    </w:p>
    <w:p w14:paraId="52BEBCF8" w14:textId="77777777" w:rsidR="001D093E" w:rsidRDefault="00F0553E"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F0553E">
        <w:rPr>
          <w:rFonts w:ascii="Times New Roman" w:eastAsia="Times New Roman" w:hAnsi="Times New Roman" w:cs="Times New Roman"/>
          <w:iCs/>
          <w:sz w:val="24"/>
          <w:szCs w:val="24"/>
        </w:rPr>
        <w:t xml:space="preserve">Appare dunque </w:t>
      </w:r>
      <w:r w:rsidR="00764039">
        <w:rPr>
          <w:rFonts w:ascii="Times New Roman" w:eastAsia="Times New Roman" w:hAnsi="Times New Roman" w:cs="Times New Roman"/>
          <w:iCs/>
          <w:sz w:val="24"/>
          <w:szCs w:val="24"/>
        </w:rPr>
        <w:t>contraddittorio</w:t>
      </w:r>
      <w:r w:rsidRPr="00F0553E">
        <w:rPr>
          <w:rFonts w:ascii="Times New Roman" w:eastAsia="Times New Roman" w:hAnsi="Times New Roman" w:cs="Times New Roman"/>
          <w:iCs/>
          <w:sz w:val="24"/>
          <w:szCs w:val="24"/>
        </w:rPr>
        <w:t xml:space="preserve"> che mentre la “nuova” Europa (che solo temporaneamente ha accantonato l’austerità) ha fatto sua l’idea che le disuguaglianze vanno ridotte non solo per motivi di equità ma perché la coesione aiuta la crescita, rischiamo di perseverare diabolicamente nell’illusione che la strada da seguire sia il sovranismo regionale dei più forti. </w:t>
      </w:r>
    </w:p>
    <w:p w14:paraId="5AA2A29B" w14:textId="77777777" w:rsidR="001D093E" w:rsidRDefault="00F0553E"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F0553E">
        <w:rPr>
          <w:rFonts w:ascii="Times New Roman" w:eastAsia="Times New Roman" w:hAnsi="Times New Roman" w:cs="Times New Roman"/>
          <w:iCs/>
          <w:sz w:val="24"/>
          <w:szCs w:val="24"/>
        </w:rPr>
        <w:t xml:space="preserve">Uno dei principali elementi critici del </w:t>
      </w:r>
      <w:proofErr w:type="spellStart"/>
      <w:r w:rsidR="001C567F">
        <w:rPr>
          <w:rFonts w:ascii="Times New Roman" w:eastAsia="Times New Roman" w:hAnsi="Times New Roman" w:cs="Times New Roman"/>
          <w:iCs/>
          <w:sz w:val="24"/>
          <w:szCs w:val="24"/>
        </w:rPr>
        <w:t>DdL</w:t>
      </w:r>
      <w:proofErr w:type="spellEnd"/>
      <w:r w:rsidR="001C567F">
        <w:rPr>
          <w:rFonts w:ascii="Times New Roman" w:eastAsia="Times New Roman" w:hAnsi="Times New Roman" w:cs="Times New Roman"/>
          <w:iCs/>
          <w:sz w:val="24"/>
          <w:szCs w:val="24"/>
        </w:rPr>
        <w:t xml:space="preserve"> </w:t>
      </w:r>
      <w:r w:rsidRPr="00F0553E">
        <w:rPr>
          <w:rFonts w:ascii="Times New Roman" w:eastAsia="Times New Roman" w:hAnsi="Times New Roman" w:cs="Times New Roman"/>
          <w:iCs/>
          <w:sz w:val="24"/>
          <w:szCs w:val="24"/>
        </w:rPr>
        <w:t>Calderoli riguarda l’assenza di riferimenti espliciti a due aspetti «sostanziali» tra loro connessi. Il primo è l’individuazione puntuale di criteri di accesso al regionalismo differenziato «da verificare sulla base di analisi e valutazione accurate e adeguatamente documentate»</w:t>
      </w:r>
      <w:r w:rsidRPr="00F0553E">
        <w:rPr>
          <w:rFonts w:ascii="Times New Roman" w:eastAsia="Times New Roman" w:hAnsi="Times New Roman" w:cs="Times New Roman"/>
          <w:iCs/>
          <w:sz w:val="24"/>
          <w:szCs w:val="24"/>
          <w:vertAlign w:val="superscript"/>
        </w:rPr>
        <w:footnoteReference w:id="2"/>
      </w:r>
      <w:r w:rsidRPr="00F0553E">
        <w:rPr>
          <w:rFonts w:ascii="Times New Roman" w:eastAsia="Times New Roman" w:hAnsi="Times New Roman" w:cs="Times New Roman"/>
          <w:iCs/>
          <w:sz w:val="24"/>
          <w:szCs w:val="24"/>
        </w:rPr>
        <w:t xml:space="preserve">. Il secondo riguarda la previsione esplicita che le concessioni di autonomia rafforzata su singole funzioni siano motivate dall’interesse nazionale, non da quello particolare delle singole Regioni richiedenti. </w:t>
      </w:r>
    </w:p>
    <w:p w14:paraId="2D8CDF18" w14:textId="77777777" w:rsidR="001D093E" w:rsidRDefault="00F0553E"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F0553E">
        <w:rPr>
          <w:rFonts w:ascii="Times New Roman" w:eastAsia="Times New Roman" w:hAnsi="Times New Roman" w:cs="Times New Roman"/>
          <w:iCs/>
          <w:sz w:val="24"/>
          <w:szCs w:val="24"/>
        </w:rPr>
        <w:t xml:space="preserve">Rimanendo inevasi questi aspetti, la decisione su quali funzioni decentrare è demandata alla mediazione politica. Governo e Regione, a seguito di una negoziazione, trovano un accordo sulle materie oggetto di devoluzione senza che il Parlamento possa intervenire nel merito, lasciando ad esso solo la possibilità di accettare o rifiutare la proposta. Ma, soprattutto, il disegno di legge non introduce alcun criterio per circoscrivere gli ambiti all’interno delle materie che possono essere delegate. </w:t>
      </w:r>
    </w:p>
    <w:p w14:paraId="47903328" w14:textId="77777777" w:rsidR="001D093E" w:rsidRDefault="003C7E77"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w:t>
      </w:r>
      <w:r w:rsidRPr="00F0553E">
        <w:rPr>
          <w:rFonts w:ascii="Times New Roman" w:eastAsia="Times New Roman" w:hAnsi="Times New Roman" w:cs="Times New Roman"/>
          <w:iCs/>
          <w:sz w:val="24"/>
          <w:szCs w:val="24"/>
        </w:rPr>
        <w:t xml:space="preserve">’art. 4 </w:t>
      </w:r>
      <w:r>
        <w:rPr>
          <w:rFonts w:ascii="Times New Roman" w:eastAsia="Times New Roman" w:hAnsi="Times New Roman" w:cs="Times New Roman"/>
          <w:iCs/>
          <w:sz w:val="24"/>
          <w:szCs w:val="24"/>
        </w:rPr>
        <w:t xml:space="preserve">del </w:t>
      </w:r>
      <w:proofErr w:type="spellStart"/>
      <w:r w:rsidR="00722907">
        <w:rPr>
          <w:rFonts w:ascii="Times New Roman" w:eastAsia="Times New Roman" w:hAnsi="Times New Roman" w:cs="Times New Roman"/>
          <w:iCs/>
          <w:sz w:val="24"/>
          <w:szCs w:val="24"/>
        </w:rPr>
        <w:t>D</w:t>
      </w:r>
      <w:r w:rsidR="00F0553E" w:rsidRPr="00F0553E">
        <w:rPr>
          <w:rFonts w:ascii="Times New Roman" w:eastAsia="Times New Roman" w:hAnsi="Times New Roman" w:cs="Times New Roman"/>
          <w:iCs/>
          <w:sz w:val="24"/>
          <w:szCs w:val="24"/>
        </w:rPr>
        <w:t>d</w:t>
      </w:r>
      <w:r>
        <w:rPr>
          <w:rFonts w:ascii="Times New Roman" w:eastAsia="Times New Roman" w:hAnsi="Times New Roman" w:cs="Times New Roman"/>
          <w:iCs/>
          <w:sz w:val="24"/>
          <w:szCs w:val="24"/>
        </w:rPr>
        <w:t>L</w:t>
      </w:r>
      <w:proofErr w:type="spellEnd"/>
      <w:r w:rsidR="00F0553E" w:rsidRPr="00F0553E">
        <w:rPr>
          <w:rFonts w:ascii="Times New Roman" w:eastAsia="Times New Roman" w:hAnsi="Times New Roman" w:cs="Times New Roman"/>
          <w:iCs/>
          <w:sz w:val="24"/>
          <w:szCs w:val="24"/>
        </w:rPr>
        <w:t xml:space="preserve"> Calderoli prevede la possibilità del trasferimento immediato delle funzioni relative a materie o ambiti di materie non LEP, con le relative risorse umane, strumentali e finanziarie, secondo le modalità, le procedure e i tempi indicati nelle singole intese, nei limiti delle risorse previste a legislazione vigente, quindi sulla base della spesa storica.</w:t>
      </w:r>
    </w:p>
    <w:p w14:paraId="4558B67B" w14:textId="77777777" w:rsidR="001D093E" w:rsidRDefault="00F0553E"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F0553E">
        <w:rPr>
          <w:rFonts w:ascii="Times New Roman" w:eastAsia="Times New Roman" w:hAnsi="Times New Roman" w:cs="Times New Roman"/>
          <w:iCs/>
          <w:sz w:val="24"/>
          <w:szCs w:val="24"/>
        </w:rPr>
        <w:t>Questo criterio si applicherebbe a materie e funzioni aventi ad oggetto grandi reti di trasporto e comunicazione, trasporto e distribuzione nazionale dell’energia, porti, autostrade, aeroporti, commercio con l’estero e così via fino all’ambiente e la protezione civile. È evidente come alcune materie abbiano diretto impatto sul mondo delle imprese, con conseguenze rilevanti in termini di diversificazione delle politiche di intervento e sul sistema di regolazione dei mercati, con conseguente incremento della complessità istituzionale e burocratica. Il rischio è quell</w:t>
      </w:r>
      <w:r w:rsidR="003A60B0">
        <w:rPr>
          <w:rFonts w:ascii="Times New Roman" w:eastAsia="Times New Roman" w:hAnsi="Times New Roman" w:cs="Times New Roman"/>
          <w:iCs/>
          <w:sz w:val="24"/>
          <w:szCs w:val="24"/>
        </w:rPr>
        <w:t xml:space="preserve">o di </w:t>
      </w:r>
      <w:r w:rsidR="00B74927">
        <w:rPr>
          <w:rFonts w:ascii="Times New Roman" w:eastAsia="Times New Roman" w:hAnsi="Times New Roman" w:cs="Times New Roman"/>
          <w:iCs/>
          <w:sz w:val="24"/>
          <w:szCs w:val="24"/>
        </w:rPr>
        <w:t xml:space="preserve">complicare ulteriormente il quadro regolatorio dei </w:t>
      </w:r>
      <w:r w:rsidRPr="00F0553E">
        <w:rPr>
          <w:rFonts w:ascii="Times New Roman" w:eastAsia="Times New Roman" w:hAnsi="Times New Roman" w:cs="Times New Roman"/>
          <w:iCs/>
          <w:sz w:val="24"/>
          <w:szCs w:val="24"/>
        </w:rPr>
        <w:t>rapport</w:t>
      </w:r>
      <w:r w:rsidR="00B74927">
        <w:rPr>
          <w:rFonts w:ascii="Times New Roman" w:eastAsia="Times New Roman" w:hAnsi="Times New Roman" w:cs="Times New Roman"/>
          <w:iCs/>
          <w:sz w:val="24"/>
          <w:szCs w:val="24"/>
        </w:rPr>
        <w:t>i</w:t>
      </w:r>
      <w:r w:rsidRPr="00F0553E">
        <w:rPr>
          <w:rFonts w:ascii="Times New Roman" w:eastAsia="Times New Roman" w:hAnsi="Times New Roman" w:cs="Times New Roman"/>
          <w:iCs/>
          <w:sz w:val="24"/>
          <w:szCs w:val="24"/>
        </w:rPr>
        <w:t xml:space="preserve"> </w:t>
      </w:r>
      <w:r w:rsidR="00B74927">
        <w:rPr>
          <w:rFonts w:ascii="Times New Roman" w:eastAsia="Times New Roman" w:hAnsi="Times New Roman" w:cs="Times New Roman"/>
          <w:iCs/>
          <w:sz w:val="24"/>
          <w:szCs w:val="24"/>
        </w:rPr>
        <w:t xml:space="preserve">tra il settore pubblico, nelle sue diverse articolazioni territoriali, e il mondo delle imprese. </w:t>
      </w:r>
    </w:p>
    <w:p w14:paraId="22BA5EB5" w14:textId="77777777" w:rsidR="001D093E" w:rsidRDefault="00F0553E"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F0553E">
        <w:rPr>
          <w:rFonts w:ascii="Times New Roman" w:eastAsia="Times New Roman" w:hAnsi="Times New Roman" w:cs="Times New Roman"/>
          <w:iCs/>
          <w:sz w:val="24"/>
          <w:szCs w:val="24"/>
        </w:rPr>
        <w:t xml:space="preserve">Andrebbero perciò introdotte misure verificabili di efficienza ed efficacia sulla base delle quali valutare ex ante la superiorità di una Regione rispetto allo Stato centrale nell’esercizio legislativo e amministrativo di una competenza che si vuole avocare alla sfera regionale e/o giustificate le peculiarità della Regione richiedente che possano motivare il decentramento in determinati ambiti. </w:t>
      </w:r>
    </w:p>
    <w:p w14:paraId="40330C27" w14:textId="5D911AB4" w:rsidR="0092178E" w:rsidRPr="0092178E" w:rsidRDefault="0092178E" w:rsidP="001D093E">
      <w:pPr>
        <w:widowControl/>
        <w:shd w:val="clear" w:color="auto" w:fill="FFFFFF"/>
        <w:spacing w:after="0" w:line="360" w:lineRule="auto"/>
        <w:ind w:firstLine="720"/>
        <w:jc w:val="both"/>
        <w:rPr>
          <w:rFonts w:ascii="Times New Roman" w:eastAsia="Times New Roman" w:hAnsi="Times New Roman" w:cs="Times New Roman"/>
          <w:iCs/>
          <w:sz w:val="24"/>
          <w:szCs w:val="24"/>
        </w:rPr>
      </w:pPr>
      <w:r w:rsidRPr="0092178E">
        <w:rPr>
          <w:rFonts w:ascii="Times New Roman" w:eastAsia="Times New Roman" w:hAnsi="Times New Roman" w:cs="Times New Roman"/>
          <w:iCs/>
          <w:sz w:val="24"/>
          <w:szCs w:val="24"/>
        </w:rPr>
        <w:t>È sicuramente un passo avanti il fatto che il dl Calderoli (</w:t>
      </w:r>
      <w:proofErr w:type="spellStart"/>
      <w:r w:rsidRPr="0092178E">
        <w:rPr>
          <w:rFonts w:ascii="Times New Roman" w:eastAsia="Times New Roman" w:hAnsi="Times New Roman" w:cs="Times New Roman"/>
          <w:iCs/>
          <w:sz w:val="24"/>
          <w:szCs w:val="24"/>
        </w:rPr>
        <w:t>ri</w:t>
      </w:r>
      <w:proofErr w:type="spellEnd"/>
      <w:r w:rsidRPr="0092178E">
        <w:rPr>
          <w:rFonts w:ascii="Times New Roman" w:eastAsia="Times New Roman" w:hAnsi="Times New Roman" w:cs="Times New Roman"/>
          <w:iCs/>
          <w:sz w:val="24"/>
          <w:szCs w:val="24"/>
        </w:rPr>
        <w:t>)affermi il principio che i LEP siano la “soglia costituzionalmente necessaria per rendere effettivi i diritti” di cittadinanza. Ma per renderli effettivi non basta definirli, occorre garantirne il finanziamento. I divari nell’offerta di servizi nel nostro Paese, sino ad ora cristallizzati dalla spesa storica, si superano solo con un percorso graduale di riequilibrio della spesa con risorse aggiuntive, a meno di non prevedere una redistribuzione, a risorse date, dalle “virtuose” regioni del Nord a quelle del Sud. Percorso impedito dalla mancanza di risorse aggiuntive per garantire i servizi dove non ci sono o sono insufficienti</w:t>
      </w:r>
      <w:r w:rsidR="00490802">
        <w:rPr>
          <w:rFonts w:ascii="Times New Roman" w:eastAsia="Times New Roman" w:hAnsi="Times New Roman" w:cs="Times New Roman"/>
          <w:iCs/>
          <w:sz w:val="24"/>
          <w:szCs w:val="24"/>
        </w:rPr>
        <w:t xml:space="preserve"> e reso ancor più difficile</w:t>
      </w:r>
      <w:r w:rsidR="005B4EF3">
        <w:rPr>
          <w:rFonts w:ascii="Times New Roman" w:eastAsia="Times New Roman" w:hAnsi="Times New Roman" w:cs="Times New Roman"/>
          <w:iCs/>
          <w:sz w:val="24"/>
          <w:szCs w:val="24"/>
        </w:rPr>
        <w:t xml:space="preserve"> dagli effetti dell’autonomia in termini di contrazione del bilancio pubblico</w:t>
      </w:r>
      <w:r w:rsidRPr="0092178E">
        <w:rPr>
          <w:rFonts w:ascii="Times New Roman" w:eastAsia="Times New Roman" w:hAnsi="Times New Roman" w:cs="Times New Roman"/>
          <w:iCs/>
          <w:sz w:val="24"/>
          <w:szCs w:val="24"/>
        </w:rPr>
        <w:t>.</w:t>
      </w:r>
    </w:p>
    <w:p w14:paraId="1321A339" w14:textId="0166029F" w:rsidR="0032515A" w:rsidRDefault="0032515A" w:rsidP="00CC092A">
      <w:pPr>
        <w:widowControl/>
        <w:shd w:val="clear" w:color="auto" w:fill="FFFFFF"/>
        <w:spacing w:after="0" w:line="360" w:lineRule="auto"/>
        <w:jc w:val="both"/>
        <w:rPr>
          <w:rFonts w:ascii="Times New Roman" w:eastAsia="Times New Roman" w:hAnsi="Times New Roman" w:cs="Times New Roman"/>
          <w:iCs/>
          <w:sz w:val="24"/>
          <w:szCs w:val="24"/>
        </w:rPr>
      </w:pPr>
    </w:p>
    <w:p w14:paraId="5D08DB4E" w14:textId="77777777" w:rsidR="008E21BB" w:rsidRDefault="008E21BB" w:rsidP="00CC092A">
      <w:pPr>
        <w:widowControl/>
        <w:shd w:val="clear" w:color="auto" w:fill="FFFFFF"/>
        <w:spacing w:after="0" w:line="360" w:lineRule="auto"/>
        <w:jc w:val="both"/>
        <w:rPr>
          <w:rFonts w:ascii="Times New Roman" w:eastAsia="Times New Roman" w:hAnsi="Times New Roman" w:cs="Times New Roman"/>
          <w:iCs/>
          <w:sz w:val="24"/>
          <w:szCs w:val="24"/>
        </w:rPr>
      </w:pPr>
    </w:p>
    <w:p w14:paraId="2BF7443F" w14:textId="7D0D2332" w:rsidR="008B4B2F" w:rsidRPr="008B4B2F" w:rsidRDefault="008B4B2F" w:rsidP="008B4B2F">
      <w:pPr>
        <w:widowControl/>
        <w:shd w:val="clear" w:color="auto" w:fill="FFFFFF"/>
        <w:spacing w:after="0" w:line="360" w:lineRule="auto"/>
        <w:jc w:val="both"/>
        <w:rPr>
          <w:rFonts w:ascii="Times New Roman" w:eastAsia="Times New Roman" w:hAnsi="Times New Roman" w:cs="Times New Roman"/>
          <w:i/>
          <w:color w:val="auto"/>
          <w:sz w:val="24"/>
          <w:szCs w:val="24"/>
        </w:rPr>
      </w:pPr>
      <w:r w:rsidRPr="008B4B2F">
        <w:rPr>
          <w:rFonts w:ascii="Times New Roman" w:eastAsia="Times New Roman" w:hAnsi="Times New Roman" w:cs="Times New Roman"/>
          <w:i/>
          <w:color w:val="auto"/>
          <w:sz w:val="24"/>
          <w:szCs w:val="24"/>
        </w:rPr>
        <w:t>Autonomia differenziata</w:t>
      </w:r>
      <w:r w:rsidR="004465B9">
        <w:rPr>
          <w:rFonts w:ascii="Times New Roman" w:eastAsia="Times New Roman" w:hAnsi="Times New Roman" w:cs="Times New Roman"/>
          <w:i/>
          <w:color w:val="auto"/>
          <w:sz w:val="24"/>
          <w:szCs w:val="24"/>
        </w:rPr>
        <w:t>, surplus fiscali e</w:t>
      </w:r>
      <w:r w:rsidR="008C0E92">
        <w:rPr>
          <w:rFonts w:ascii="Times New Roman" w:eastAsia="Times New Roman" w:hAnsi="Times New Roman" w:cs="Times New Roman"/>
          <w:i/>
          <w:color w:val="auto"/>
          <w:sz w:val="24"/>
          <w:szCs w:val="24"/>
        </w:rPr>
        <w:t>d efficacia dell’</w:t>
      </w:r>
      <w:r w:rsidRPr="008B4B2F">
        <w:rPr>
          <w:rFonts w:ascii="Times New Roman" w:eastAsia="Times New Roman" w:hAnsi="Times New Roman" w:cs="Times New Roman"/>
          <w:i/>
          <w:color w:val="auto"/>
          <w:sz w:val="24"/>
          <w:szCs w:val="24"/>
        </w:rPr>
        <w:t>azione redistributiva dello Stato</w:t>
      </w:r>
    </w:p>
    <w:p w14:paraId="4801FE33" w14:textId="77777777" w:rsidR="008B4B2F" w:rsidRPr="008B4B2F" w:rsidRDefault="008B4B2F" w:rsidP="008B4B2F">
      <w:pPr>
        <w:widowControl/>
        <w:shd w:val="clear" w:color="auto" w:fill="FFFFFF"/>
        <w:spacing w:after="0" w:line="360" w:lineRule="auto"/>
        <w:jc w:val="both"/>
        <w:rPr>
          <w:rFonts w:ascii="Times New Roman" w:hAnsi="Times New Roman" w:cs="Times New Roman"/>
          <w:color w:val="auto"/>
          <w:sz w:val="24"/>
          <w:szCs w:val="24"/>
        </w:rPr>
      </w:pPr>
    </w:p>
    <w:p w14:paraId="0F81D827" w14:textId="36F7122E" w:rsidR="008B4B2F" w:rsidRPr="008B4B2F" w:rsidRDefault="008B4B2F" w:rsidP="008B4B2F">
      <w:pPr>
        <w:spacing w:after="0" w:line="360" w:lineRule="auto"/>
        <w:ind w:firstLine="720"/>
        <w:jc w:val="both"/>
        <w:rPr>
          <w:rFonts w:ascii="Times New Roman" w:hAnsi="Times New Roman" w:cs="Times New Roman"/>
          <w:color w:val="auto"/>
          <w:sz w:val="24"/>
          <w:szCs w:val="24"/>
        </w:rPr>
      </w:pPr>
      <w:r w:rsidRPr="008B4B2F">
        <w:rPr>
          <w:rFonts w:ascii="Times New Roman" w:hAnsi="Times New Roman" w:cs="Times New Roman"/>
          <w:color w:val="auto"/>
          <w:sz w:val="24"/>
          <w:szCs w:val="24"/>
        </w:rPr>
        <w:t xml:space="preserve">La SVIMEZ ha condotto un esercizio di quantificazione dell’impatto sulle finanze pubbliche </w:t>
      </w:r>
      <w:r w:rsidRPr="008B4B2F">
        <w:rPr>
          <w:rFonts w:ascii="Times New Roman" w:hAnsi="Times New Roman" w:cs="Times New Roman"/>
          <w:sz w:val="24"/>
          <w:szCs w:val="24"/>
        </w:rPr>
        <w:t>del sistema di finanziamento delle nuove forme di autonomia,</w:t>
      </w:r>
      <w:r w:rsidRPr="008B4B2F">
        <w:rPr>
          <w:rFonts w:ascii="Times New Roman" w:hAnsi="Times New Roman" w:cs="Times New Roman"/>
          <w:color w:val="auto"/>
          <w:sz w:val="24"/>
          <w:szCs w:val="24"/>
        </w:rPr>
        <w:t xml:space="preserve"> con particolare riferimento alle </w:t>
      </w:r>
      <w:r w:rsidR="0013497D">
        <w:rPr>
          <w:rFonts w:ascii="Times New Roman" w:hAnsi="Times New Roman" w:cs="Times New Roman"/>
          <w:color w:val="auto"/>
          <w:sz w:val="24"/>
          <w:szCs w:val="24"/>
        </w:rPr>
        <w:t xml:space="preserve">potenziali </w:t>
      </w:r>
      <w:r w:rsidRPr="008B4B2F">
        <w:rPr>
          <w:rFonts w:ascii="Times New Roman" w:hAnsi="Times New Roman" w:cs="Times New Roman"/>
          <w:color w:val="auto"/>
          <w:sz w:val="24"/>
          <w:szCs w:val="24"/>
        </w:rPr>
        <w:t xml:space="preserve">ricadute sulla dimensione dello spazio fiscale del bilancio pubblico a garanzia degli obiettivi di </w:t>
      </w:r>
      <w:r w:rsidRPr="008B4B2F">
        <w:rPr>
          <w:rFonts w:ascii="Times New Roman" w:hAnsi="Times New Roman" w:cs="Times New Roman"/>
          <w:sz w:val="24"/>
          <w:szCs w:val="24"/>
        </w:rPr>
        <w:t>uniformità delle prestazioni su base nazionale e, più in generale, sulla tenuta dei conti pubblici e dell’azione redistributiva dello Stato</w:t>
      </w:r>
      <w:r w:rsidR="0013497D">
        <w:rPr>
          <w:rFonts w:ascii="Times New Roman" w:hAnsi="Times New Roman" w:cs="Times New Roman"/>
          <w:sz w:val="24"/>
          <w:szCs w:val="24"/>
        </w:rPr>
        <w:t>.</w:t>
      </w:r>
    </w:p>
    <w:p w14:paraId="034DF9AF" w14:textId="6E3E5D9C" w:rsidR="008B4B2F" w:rsidRPr="008B4B2F" w:rsidRDefault="008B4B2F" w:rsidP="008B4B2F">
      <w:pPr>
        <w:spacing w:after="0" w:line="360" w:lineRule="auto"/>
        <w:ind w:firstLine="720"/>
        <w:jc w:val="both"/>
        <w:rPr>
          <w:rFonts w:ascii="Times New Roman" w:eastAsia="Times New Roman" w:hAnsi="Times New Roman" w:cs="Times New Roman"/>
          <w:sz w:val="24"/>
          <w:szCs w:val="24"/>
        </w:rPr>
      </w:pPr>
      <w:r w:rsidRPr="008B4B2F">
        <w:rPr>
          <w:rFonts w:ascii="Times New Roman" w:eastAsia="Times New Roman" w:hAnsi="Times New Roman" w:cs="Times New Roman"/>
          <w:sz w:val="24"/>
          <w:szCs w:val="24"/>
        </w:rPr>
        <w:t>In primo luogo, è stato quantificato il valore finanziario delle funzioni delegabili</w:t>
      </w:r>
      <w:r w:rsidR="004970E2">
        <w:rPr>
          <w:rFonts w:ascii="Times New Roman" w:eastAsia="Times New Roman" w:hAnsi="Times New Roman" w:cs="Times New Roman"/>
          <w:sz w:val="24"/>
          <w:szCs w:val="24"/>
        </w:rPr>
        <w:t xml:space="preserve">, sulla base dei testi delle pre-intese </w:t>
      </w:r>
      <w:r w:rsidR="00464082">
        <w:rPr>
          <w:rFonts w:ascii="Times New Roman" w:eastAsia="Times New Roman" w:hAnsi="Times New Roman" w:cs="Times New Roman"/>
          <w:sz w:val="24"/>
          <w:szCs w:val="24"/>
        </w:rPr>
        <w:t xml:space="preserve">del </w:t>
      </w:r>
      <w:r w:rsidR="00093B82">
        <w:rPr>
          <w:rFonts w:ascii="Times New Roman" w:eastAsia="Times New Roman" w:hAnsi="Times New Roman" w:cs="Times New Roman"/>
          <w:sz w:val="24"/>
          <w:szCs w:val="24"/>
        </w:rPr>
        <w:t>2019</w:t>
      </w:r>
      <w:r w:rsidRPr="008B4B2F">
        <w:rPr>
          <w:rFonts w:ascii="Times New Roman" w:eastAsia="Times New Roman" w:hAnsi="Times New Roman" w:cs="Times New Roman"/>
          <w:sz w:val="24"/>
          <w:szCs w:val="24"/>
        </w:rPr>
        <w:t>.</w:t>
      </w:r>
      <w:r w:rsidRPr="008B4B2F">
        <w:rPr>
          <w:rFonts w:ascii="Times New Roman" w:hAnsi="Times New Roman" w:cs="Times New Roman"/>
          <w:color w:val="auto"/>
          <w:sz w:val="24"/>
          <w:szCs w:val="24"/>
        </w:rPr>
        <w:t xml:space="preserve"> </w:t>
      </w:r>
      <w:r w:rsidRPr="008B4B2F">
        <w:rPr>
          <w:rFonts w:ascii="Times New Roman" w:hAnsi="Times New Roman" w:cs="Times New Roman"/>
          <w:sz w:val="24"/>
          <w:szCs w:val="24"/>
        </w:rPr>
        <w:t xml:space="preserve">In assenza di dettagli sulle specifiche funzioni che le intese conferiranno alle Regioni richiedenti, la quantificazione delle risorse finanziarie necessarie al finanziamento delle nuove funzioni decentrate si è basata sui dati di spesa pubblica regionalizzata di fonte </w:t>
      </w:r>
      <w:r w:rsidRPr="008B4B2F">
        <w:rPr>
          <w:rFonts w:ascii="Times New Roman" w:eastAsia="Times New Roman" w:hAnsi="Times New Roman" w:cs="Times New Roman"/>
          <w:sz w:val="24"/>
          <w:szCs w:val="24"/>
        </w:rPr>
        <w:t xml:space="preserve">RGS articolati per missione (Tab. 1). In via prudenziale non sono state considerate le missioni “competitività e sviluppo delle imprese” e “politiche del lavoro”. </w:t>
      </w:r>
    </w:p>
    <w:p w14:paraId="617053D0" w14:textId="77777777" w:rsidR="008B4B2F" w:rsidRPr="008B4B2F" w:rsidRDefault="008B4B2F" w:rsidP="008B4B2F">
      <w:pPr>
        <w:spacing w:after="0" w:line="360" w:lineRule="auto"/>
        <w:ind w:firstLine="720"/>
        <w:jc w:val="both"/>
        <w:rPr>
          <w:rFonts w:ascii="Times New Roman" w:eastAsia="Times New Roman" w:hAnsi="Times New Roman" w:cs="Times New Roman"/>
          <w:sz w:val="24"/>
          <w:szCs w:val="24"/>
        </w:rPr>
      </w:pPr>
    </w:p>
    <w:p w14:paraId="2D4C36F8" w14:textId="3E3B9261" w:rsidR="008B4B2F" w:rsidRPr="008B4B2F" w:rsidRDefault="008B4B2F" w:rsidP="000E4D2E">
      <w:pPr>
        <w:spacing w:after="0" w:line="360" w:lineRule="auto"/>
        <w:jc w:val="both"/>
        <w:rPr>
          <w:rFonts w:ascii="Times New Roman" w:eastAsia="Times New Roman" w:hAnsi="Times New Roman" w:cs="Times New Roman"/>
          <w:sz w:val="24"/>
          <w:szCs w:val="24"/>
        </w:rPr>
      </w:pPr>
      <w:r w:rsidRPr="008B4B2F">
        <w:rPr>
          <w:rFonts w:ascii="Times New Roman" w:eastAsia="Times New Roman" w:hAnsi="Times New Roman" w:cs="Times New Roman"/>
          <w:sz w:val="24"/>
          <w:szCs w:val="24"/>
        </w:rPr>
        <w:t xml:space="preserve">Tab. 1 – </w:t>
      </w:r>
      <w:r w:rsidR="001D1907">
        <w:rPr>
          <w:rFonts w:ascii="Times New Roman" w:eastAsia="Times New Roman" w:hAnsi="Times New Roman" w:cs="Times New Roman"/>
          <w:sz w:val="24"/>
          <w:szCs w:val="24"/>
        </w:rPr>
        <w:t>Elenco delle materie delegabili sulla base delle pre-intese del 2</w:t>
      </w:r>
      <w:r w:rsidR="00E42D60">
        <w:rPr>
          <w:rFonts w:ascii="Times New Roman" w:eastAsia="Times New Roman" w:hAnsi="Times New Roman" w:cs="Times New Roman"/>
          <w:sz w:val="24"/>
          <w:szCs w:val="24"/>
        </w:rPr>
        <w:t>019</w:t>
      </w:r>
      <w:r w:rsidR="001D1907">
        <w:rPr>
          <w:rFonts w:ascii="Times New Roman" w:eastAsia="Times New Roman" w:hAnsi="Times New Roman" w:cs="Times New Roman"/>
          <w:sz w:val="24"/>
          <w:szCs w:val="24"/>
        </w:rPr>
        <w:t xml:space="preserve"> </w:t>
      </w:r>
    </w:p>
    <w:tbl>
      <w:tblPr>
        <w:tblW w:w="9621" w:type="dxa"/>
        <w:tblCellMar>
          <w:left w:w="70" w:type="dxa"/>
          <w:right w:w="70" w:type="dxa"/>
        </w:tblCellMar>
        <w:tblLook w:val="04A0" w:firstRow="1" w:lastRow="0" w:firstColumn="1" w:lastColumn="0" w:noHBand="0" w:noVBand="1"/>
      </w:tblPr>
      <w:tblGrid>
        <w:gridCol w:w="2860"/>
        <w:gridCol w:w="6761"/>
      </w:tblGrid>
      <w:tr w:rsidR="008B4B2F" w:rsidRPr="008B4B2F" w14:paraId="44DCCD11" w14:textId="77777777" w:rsidTr="007D29DC">
        <w:trPr>
          <w:trHeight w:val="300"/>
        </w:trPr>
        <w:tc>
          <w:tcPr>
            <w:tcW w:w="2860" w:type="dxa"/>
            <w:tcBorders>
              <w:top w:val="single" w:sz="4" w:space="0" w:color="auto"/>
              <w:bottom w:val="single" w:sz="4" w:space="0" w:color="auto"/>
            </w:tcBorders>
            <w:shd w:val="clear" w:color="auto" w:fill="auto"/>
            <w:noWrap/>
            <w:vAlign w:val="bottom"/>
            <w:hideMark/>
          </w:tcPr>
          <w:p w14:paraId="077F3FA1" w14:textId="77777777" w:rsidR="008B4B2F" w:rsidRPr="008B4B2F" w:rsidRDefault="008B4B2F" w:rsidP="008B4B2F">
            <w:pPr>
              <w:widowControl/>
              <w:spacing w:after="0" w:line="240" w:lineRule="auto"/>
              <w:rPr>
                <w:rFonts w:ascii="Times New Roman" w:eastAsia="Times New Roman" w:hAnsi="Times New Roman" w:cs="Times New Roman"/>
                <w:i/>
                <w:iCs/>
              </w:rPr>
            </w:pPr>
            <w:r w:rsidRPr="008B4B2F">
              <w:rPr>
                <w:rFonts w:ascii="Times New Roman" w:eastAsia="Times New Roman" w:hAnsi="Times New Roman" w:cs="Times New Roman"/>
                <w:i/>
                <w:iCs/>
              </w:rPr>
              <w:t>Codice Missione</w:t>
            </w:r>
          </w:p>
        </w:tc>
        <w:tc>
          <w:tcPr>
            <w:tcW w:w="6761" w:type="dxa"/>
            <w:tcBorders>
              <w:top w:val="single" w:sz="4" w:space="0" w:color="auto"/>
              <w:bottom w:val="single" w:sz="4" w:space="0" w:color="auto"/>
            </w:tcBorders>
            <w:shd w:val="clear" w:color="auto" w:fill="auto"/>
            <w:noWrap/>
            <w:vAlign w:val="bottom"/>
            <w:hideMark/>
          </w:tcPr>
          <w:p w14:paraId="37B8BAA3" w14:textId="77777777" w:rsidR="008B4B2F" w:rsidRPr="008B4B2F" w:rsidRDefault="008B4B2F" w:rsidP="008B4B2F">
            <w:pPr>
              <w:widowControl/>
              <w:spacing w:after="0" w:line="240" w:lineRule="auto"/>
              <w:rPr>
                <w:rFonts w:ascii="Times New Roman" w:eastAsia="Times New Roman" w:hAnsi="Times New Roman" w:cs="Times New Roman"/>
                <w:i/>
                <w:iCs/>
              </w:rPr>
            </w:pPr>
            <w:r w:rsidRPr="008B4B2F">
              <w:rPr>
                <w:rFonts w:ascii="Times New Roman" w:eastAsia="Times New Roman" w:hAnsi="Times New Roman" w:cs="Times New Roman"/>
                <w:i/>
                <w:iCs/>
              </w:rPr>
              <w:t>Descrizione Missione</w:t>
            </w:r>
          </w:p>
        </w:tc>
      </w:tr>
      <w:tr w:rsidR="008B4B2F" w:rsidRPr="008B4B2F" w14:paraId="36E8486F" w14:textId="77777777" w:rsidTr="007D29DC">
        <w:trPr>
          <w:trHeight w:val="300"/>
        </w:trPr>
        <w:tc>
          <w:tcPr>
            <w:tcW w:w="2860" w:type="dxa"/>
            <w:tcBorders>
              <w:top w:val="single" w:sz="4" w:space="0" w:color="auto"/>
            </w:tcBorders>
            <w:shd w:val="clear" w:color="auto" w:fill="auto"/>
            <w:noWrap/>
            <w:vAlign w:val="bottom"/>
            <w:hideMark/>
          </w:tcPr>
          <w:p w14:paraId="65B3D473"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m_08_05</w:t>
            </w:r>
          </w:p>
        </w:tc>
        <w:tc>
          <w:tcPr>
            <w:tcW w:w="6761" w:type="dxa"/>
            <w:tcBorders>
              <w:top w:val="single" w:sz="4" w:space="0" w:color="auto"/>
            </w:tcBorders>
            <w:shd w:val="clear" w:color="auto" w:fill="auto"/>
            <w:noWrap/>
            <w:vAlign w:val="bottom"/>
            <w:hideMark/>
          </w:tcPr>
          <w:p w14:paraId="3EEA205C"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Protezione civile</w:t>
            </w:r>
          </w:p>
        </w:tc>
      </w:tr>
      <w:tr w:rsidR="008B4B2F" w:rsidRPr="008B4B2F" w14:paraId="550D81E6" w14:textId="77777777" w:rsidTr="007D29DC">
        <w:trPr>
          <w:trHeight w:val="300"/>
        </w:trPr>
        <w:tc>
          <w:tcPr>
            <w:tcW w:w="2860" w:type="dxa"/>
            <w:shd w:val="clear" w:color="auto" w:fill="auto"/>
            <w:noWrap/>
            <w:vAlign w:val="bottom"/>
            <w:hideMark/>
          </w:tcPr>
          <w:p w14:paraId="082F8A18"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m_09</w:t>
            </w:r>
          </w:p>
        </w:tc>
        <w:tc>
          <w:tcPr>
            <w:tcW w:w="6761" w:type="dxa"/>
            <w:shd w:val="clear" w:color="auto" w:fill="auto"/>
            <w:noWrap/>
            <w:vAlign w:val="bottom"/>
            <w:hideMark/>
          </w:tcPr>
          <w:p w14:paraId="22D15DF0"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Agricoltura, politiche agroalimentari e pesca</w:t>
            </w:r>
          </w:p>
        </w:tc>
      </w:tr>
      <w:tr w:rsidR="008B4B2F" w:rsidRPr="008B4B2F" w14:paraId="418ED473" w14:textId="77777777" w:rsidTr="007D29DC">
        <w:trPr>
          <w:trHeight w:val="300"/>
        </w:trPr>
        <w:tc>
          <w:tcPr>
            <w:tcW w:w="2860" w:type="dxa"/>
            <w:shd w:val="clear" w:color="auto" w:fill="auto"/>
            <w:noWrap/>
            <w:vAlign w:val="bottom"/>
            <w:hideMark/>
          </w:tcPr>
          <w:p w14:paraId="023D39DD"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m_10</w:t>
            </w:r>
          </w:p>
        </w:tc>
        <w:tc>
          <w:tcPr>
            <w:tcW w:w="6761" w:type="dxa"/>
            <w:shd w:val="clear" w:color="auto" w:fill="auto"/>
            <w:noWrap/>
            <w:vAlign w:val="bottom"/>
            <w:hideMark/>
          </w:tcPr>
          <w:p w14:paraId="01E17695"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Energia e diversificazione delle fonti energetiche</w:t>
            </w:r>
          </w:p>
        </w:tc>
      </w:tr>
      <w:tr w:rsidR="008B4B2F" w:rsidRPr="008B4B2F" w14:paraId="08621D0A" w14:textId="77777777" w:rsidTr="007D29DC">
        <w:trPr>
          <w:trHeight w:val="300"/>
        </w:trPr>
        <w:tc>
          <w:tcPr>
            <w:tcW w:w="2860" w:type="dxa"/>
            <w:shd w:val="clear" w:color="auto" w:fill="auto"/>
            <w:noWrap/>
            <w:vAlign w:val="bottom"/>
            <w:hideMark/>
          </w:tcPr>
          <w:p w14:paraId="1F791199"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m_13</w:t>
            </w:r>
          </w:p>
        </w:tc>
        <w:tc>
          <w:tcPr>
            <w:tcW w:w="6761" w:type="dxa"/>
            <w:shd w:val="clear" w:color="auto" w:fill="auto"/>
            <w:noWrap/>
            <w:vAlign w:val="bottom"/>
            <w:hideMark/>
          </w:tcPr>
          <w:p w14:paraId="02A4D3E8" w14:textId="4E8AF6CA"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 xml:space="preserve">Diritto alla </w:t>
            </w:r>
            <w:r w:rsidR="008E21BB" w:rsidRPr="004465B9">
              <w:rPr>
                <w:rFonts w:ascii="Times New Roman" w:eastAsia="Times New Roman" w:hAnsi="Times New Roman" w:cs="Times New Roman"/>
              </w:rPr>
              <w:t>mobilità</w:t>
            </w:r>
            <w:r w:rsidRPr="008B4B2F">
              <w:rPr>
                <w:rFonts w:ascii="Times New Roman" w:eastAsia="Times New Roman" w:hAnsi="Times New Roman" w:cs="Times New Roman"/>
              </w:rPr>
              <w:t xml:space="preserve"> e sviluppo dei sistemi di trasporto</w:t>
            </w:r>
          </w:p>
        </w:tc>
      </w:tr>
      <w:tr w:rsidR="008B4B2F" w:rsidRPr="008B4B2F" w14:paraId="519C4D03" w14:textId="77777777" w:rsidTr="007D29DC">
        <w:trPr>
          <w:trHeight w:val="300"/>
        </w:trPr>
        <w:tc>
          <w:tcPr>
            <w:tcW w:w="2860" w:type="dxa"/>
            <w:shd w:val="clear" w:color="auto" w:fill="auto"/>
            <w:noWrap/>
            <w:vAlign w:val="bottom"/>
            <w:hideMark/>
          </w:tcPr>
          <w:p w14:paraId="3700AD20"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m_14</w:t>
            </w:r>
          </w:p>
        </w:tc>
        <w:tc>
          <w:tcPr>
            <w:tcW w:w="6761" w:type="dxa"/>
            <w:shd w:val="clear" w:color="auto" w:fill="auto"/>
            <w:noWrap/>
            <w:vAlign w:val="bottom"/>
            <w:hideMark/>
          </w:tcPr>
          <w:p w14:paraId="2FFE80B4"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Infrastrutture pubbliche e logistica</w:t>
            </w:r>
          </w:p>
        </w:tc>
      </w:tr>
      <w:tr w:rsidR="008B4B2F" w:rsidRPr="008B4B2F" w14:paraId="5B23F312" w14:textId="77777777" w:rsidTr="007D29DC">
        <w:trPr>
          <w:trHeight w:val="300"/>
        </w:trPr>
        <w:tc>
          <w:tcPr>
            <w:tcW w:w="2860" w:type="dxa"/>
            <w:shd w:val="clear" w:color="auto" w:fill="auto"/>
            <w:noWrap/>
            <w:vAlign w:val="bottom"/>
            <w:hideMark/>
          </w:tcPr>
          <w:p w14:paraId="74433AD6"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m_15</w:t>
            </w:r>
          </w:p>
        </w:tc>
        <w:tc>
          <w:tcPr>
            <w:tcW w:w="6761" w:type="dxa"/>
            <w:shd w:val="clear" w:color="auto" w:fill="auto"/>
            <w:noWrap/>
            <w:vAlign w:val="bottom"/>
            <w:hideMark/>
          </w:tcPr>
          <w:p w14:paraId="52352046"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Comunicazioni</w:t>
            </w:r>
          </w:p>
        </w:tc>
      </w:tr>
      <w:tr w:rsidR="008B4B2F" w:rsidRPr="008B4B2F" w14:paraId="083C6C99" w14:textId="77777777" w:rsidTr="007D29DC">
        <w:trPr>
          <w:trHeight w:val="300"/>
        </w:trPr>
        <w:tc>
          <w:tcPr>
            <w:tcW w:w="2860" w:type="dxa"/>
            <w:shd w:val="clear" w:color="auto" w:fill="auto"/>
            <w:noWrap/>
            <w:vAlign w:val="bottom"/>
            <w:hideMark/>
          </w:tcPr>
          <w:p w14:paraId="0D30EAFC"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m_16</w:t>
            </w:r>
          </w:p>
        </w:tc>
        <w:tc>
          <w:tcPr>
            <w:tcW w:w="6761" w:type="dxa"/>
            <w:shd w:val="clear" w:color="auto" w:fill="auto"/>
            <w:noWrap/>
            <w:vAlign w:val="bottom"/>
            <w:hideMark/>
          </w:tcPr>
          <w:p w14:paraId="28B3792D"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Commercio internazionale ed internazionalizzazione del sistema produttivo</w:t>
            </w:r>
          </w:p>
        </w:tc>
      </w:tr>
      <w:tr w:rsidR="008B4B2F" w:rsidRPr="008B4B2F" w14:paraId="518D3555" w14:textId="77777777" w:rsidTr="007D29DC">
        <w:trPr>
          <w:trHeight w:val="300"/>
        </w:trPr>
        <w:tc>
          <w:tcPr>
            <w:tcW w:w="2860" w:type="dxa"/>
            <w:shd w:val="clear" w:color="auto" w:fill="auto"/>
            <w:noWrap/>
            <w:vAlign w:val="bottom"/>
            <w:hideMark/>
          </w:tcPr>
          <w:p w14:paraId="111ED45F"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m_18</w:t>
            </w:r>
          </w:p>
        </w:tc>
        <w:tc>
          <w:tcPr>
            <w:tcW w:w="6761" w:type="dxa"/>
            <w:shd w:val="clear" w:color="auto" w:fill="auto"/>
            <w:noWrap/>
            <w:vAlign w:val="bottom"/>
            <w:hideMark/>
          </w:tcPr>
          <w:p w14:paraId="66C5E91F"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Sviluppo sostenibile e tutela del territorio e dell'ambiente</w:t>
            </w:r>
          </w:p>
        </w:tc>
      </w:tr>
      <w:tr w:rsidR="008B4B2F" w:rsidRPr="008B4B2F" w14:paraId="22214EBF" w14:textId="77777777" w:rsidTr="007D29DC">
        <w:trPr>
          <w:trHeight w:val="300"/>
        </w:trPr>
        <w:tc>
          <w:tcPr>
            <w:tcW w:w="2860" w:type="dxa"/>
            <w:shd w:val="clear" w:color="auto" w:fill="auto"/>
            <w:noWrap/>
            <w:vAlign w:val="bottom"/>
            <w:hideMark/>
          </w:tcPr>
          <w:p w14:paraId="3143ED60"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m_21</w:t>
            </w:r>
          </w:p>
        </w:tc>
        <w:tc>
          <w:tcPr>
            <w:tcW w:w="6761" w:type="dxa"/>
            <w:shd w:val="clear" w:color="auto" w:fill="auto"/>
            <w:noWrap/>
            <w:vAlign w:val="bottom"/>
            <w:hideMark/>
          </w:tcPr>
          <w:p w14:paraId="15F63A25" w14:textId="2B245BA0"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 xml:space="preserve">Tutela e valorizzazione dei beni e </w:t>
            </w:r>
            <w:r w:rsidR="008E21BB" w:rsidRPr="004465B9">
              <w:rPr>
                <w:rFonts w:ascii="Times New Roman" w:eastAsia="Times New Roman" w:hAnsi="Times New Roman" w:cs="Times New Roman"/>
              </w:rPr>
              <w:t>attività</w:t>
            </w:r>
            <w:r w:rsidRPr="008B4B2F">
              <w:rPr>
                <w:rFonts w:ascii="Times New Roman" w:eastAsia="Times New Roman" w:hAnsi="Times New Roman" w:cs="Times New Roman"/>
              </w:rPr>
              <w:t xml:space="preserve"> culturali e paesaggistici</w:t>
            </w:r>
          </w:p>
        </w:tc>
      </w:tr>
      <w:tr w:rsidR="008B4B2F" w:rsidRPr="008B4B2F" w14:paraId="5E17524F" w14:textId="77777777" w:rsidTr="007D29DC">
        <w:trPr>
          <w:trHeight w:val="300"/>
        </w:trPr>
        <w:tc>
          <w:tcPr>
            <w:tcW w:w="2860" w:type="dxa"/>
            <w:shd w:val="clear" w:color="auto" w:fill="auto"/>
            <w:noWrap/>
            <w:vAlign w:val="bottom"/>
            <w:hideMark/>
          </w:tcPr>
          <w:p w14:paraId="72D6BCCA"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m_22</w:t>
            </w:r>
          </w:p>
        </w:tc>
        <w:tc>
          <w:tcPr>
            <w:tcW w:w="6761" w:type="dxa"/>
            <w:shd w:val="clear" w:color="auto" w:fill="auto"/>
            <w:noWrap/>
            <w:vAlign w:val="bottom"/>
            <w:hideMark/>
          </w:tcPr>
          <w:p w14:paraId="3315958F"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Istruzione scolastica</w:t>
            </w:r>
          </w:p>
        </w:tc>
      </w:tr>
      <w:tr w:rsidR="008B4B2F" w:rsidRPr="008B4B2F" w14:paraId="6F901AB7" w14:textId="77777777" w:rsidTr="000E4D2E">
        <w:trPr>
          <w:trHeight w:val="300"/>
        </w:trPr>
        <w:tc>
          <w:tcPr>
            <w:tcW w:w="2860" w:type="dxa"/>
            <w:shd w:val="clear" w:color="auto" w:fill="auto"/>
            <w:noWrap/>
            <w:vAlign w:val="bottom"/>
            <w:hideMark/>
          </w:tcPr>
          <w:p w14:paraId="3FBD85DA"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m_30</w:t>
            </w:r>
          </w:p>
        </w:tc>
        <w:tc>
          <w:tcPr>
            <w:tcW w:w="6761" w:type="dxa"/>
            <w:shd w:val="clear" w:color="auto" w:fill="auto"/>
            <w:noWrap/>
            <w:vAlign w:val="bottom"/>
            <w:hideMark/>
          </w:tcPr>
          <w:p w14:paraId="64C4DE46" w14:textId="77777777" w:rsidR="008B4B2F" w:rsidRPr="008B4B2F" w:rsidRDefault="008B4B2F" w:rsidP="008B4B2F">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Giovani e sport</w:t>
            </w:r>
          </w:p>
        </w:tc>
      </w:tr>
      <w:tr w:rsidR="00C60C2D" w:rsidRPr="004465B9" w14:paraId="0D38CDFA" w14:textId="77777777" w:rsidTr="000E4D2E">
        <w:trPr>
          <w:trHeight w:val="300"/>
        </w:trPr>
        <w:tc>
          <w:tcPr>
            <w:tcW w:w="9621" w:type="dxa"/>
            <w:gridSpan w:val="2"/>
            <w:tcBorders>
              <w:bottom w:val="single" w:sz="4" w:space="0" w:color="auto"/>
            </w:tcBorders>
            <w:shd w:val="clear" w:color="auto" w:fill="auto"/>
            <w:noWrap/>
            <w:vAlign w:val="bottom"/>
          </w:tcPr>
          <w:p w14:paraId="1266CFA6" w14:textId="229E8526" w:rsidR="00C60C2D" w:rsidRPr="004465B9" w:rsidRDefault="003767A9" w:rsidP="008B4B2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Tutela della salute</w:t>
            </w:r>
            <w:r w:rsidR="00C60C2D" w:rsidRPr="004465B9">
              <w:rPr>
                <w:rFonts w:ascii="Times New Roman" w:eastAsia="Times New Roman" w:hAnsi="Times New Roman" w:cs="Times New Roman"/>
              </w:rPr>
              <w:t xml:space="preserve">: </w:t>
            </w:r>
            <w:r w:rsidR="00726226" w:rsidRPr="004465B9">
              <w:rPr>
                <w:rFonts w:ascii="Times New Roman" w:eastAsia="Times New Roman" w:hAnsi="Times New Roman" w:cs="Times New Roman"/>
              </w:rPr>
              <w:t xml:space="preserve">delibere </w:t>
            </w:r>
            <w:proofErr w:type="spellStart"/>
            <w:r w:rsidR="00726226" w:rsidRPr="004465B9">
              <w:rPr>
                <w:rFonts w:ascii="Times New Roman" w:eastAsia="Times New Roman" w:hAnsi="Times New Roman" w:cs="Times New Roman"/>
              </w:rPr>
              <w:t>Cipe</w:t>
            </w:r>
            <w:proofErr w:type="spellEnd"/>
            <w:r w:rsidR="00726226" w:rsidRPr="004465B9">
              <w:rPr>
                <w:rFonts w:ascii="Times New Roman" w:eastAsia="Times New Roman" w:hAnsi="Times New Roman" w:cs="Times New Roman"/>
              </w:rPr>
              <w:t xml:space="preserve"> </w:t>
            </w:r>
          </w:p>
        </w:tc>
      </w:tr>
    </w:tbl>
    <w:p w14:paraId="065DBEEB" w14:textId="77777777" w:rsidR="008B4B2F" w:rsidRPr="008B4B2F" w:rsidRDefault="008B4B2F" w:rsidP="008B4B2F">
      <w:pPr>
        <w:spacing w:after="0" w:line="360" w:lineRule="auto"/>
        <w:jc w:val="both"/>
        <w:rPr>
          <w:rFonts w:ascii="Times New Roman" w:hAnsi="Times New Roman" w:cs="Times New Roman"/>
        </w:rPr>
      </w:pPr>
    </w:p>
    <w:p w14:paraId="0DE41582" w14:textId="05BE15D5" w:rsidR="008B4B2F" w:rsidRPr="008B4B2F" w:rsidRDefault="008B4B2F" w:rsidP="008B4B2F">
      <w:pPr>
        <w:spacing w:after="0" w:line="360" w:lineRule="auto"/>
        <w:ind w:firstLine="708"/>
        <w:jc w:val="both"/>
        <w:rPr>
          <w:rFonts w:ascii="Times New Roman" w:hAnsi="Times New Roman" w:cs="Times New Roman"/>
          <w:sz w:val="24"/>
          <w:szCs w:val="24"/>
        </w:rPr>
      </w:pPr>
      <w:r w:rsidRPr="008B4B2F">
        <w:rPr>
          <w:rFonts w:ascii="Times New Roman" w:hAnsi="Times New Roman" w:cs="Times New Roman"/>
          <w:sz w:val="24"/>
          <w:szCs w:val="24"/>
        </w:rPr>
        <w:t xml:space="preserve">Quanto alla </w:t>
      </w:r>
      <w:r w:rsidR="00731BFF" w:rsidRPr="00967F0B">
        <w:rPr>
          <w:rFonts w:ascii="Times New Roman" w:hAnsi="Times New Roman" w:cs="Times New Roman"/>
          <w:sz w:val="24"/>
          <w:szCs w:val="24"/>
        </w:rPr>
        <w:t>tutela della salute</w:t>
      </w:r>
      <w:r w:rsidRPr="008B4B2F">
        <w:rPr>
          <w:rFonts w:ascii="Times New Roman" w:hAnsi="Times New Roman" w:cs="Times New Roman"/>
          <w:sz w:val="24"/>
          <w:szCs w:val="24"/>
        </w:rPr>
        <w:t xml:space="preserve">, sono stati impiegati </w:t>
      </w:r>
      <w:r w:rsidR="00340031" w:rsidRPr="00967F0B">
        <w:rPr>
          <w:rFonts w:ascii="Times New Roman" w:hAnsi="Times New Roman" w:cs="Times New Roman"/>
          <w:sz w:val="24"/>
          <w:szCs w:val="24"/>
        </w:rPr>
        <w:t>i</w:t>
      </w:r>
      <w:r w:rsidRPr="008B4B2F">
        <w:rPr>
          <w:rFonts w:ascii="Times New Roman" w:hAnsi="Times New Roman" w:cs="Times New Roman"/>
          <w:sz w:val="24"/>
          <w:szCs w:val="24"/>
        </w:rPr>
        <w:t xml:space="preserve"> dati </w:t>
      </w:r>
      <w:r w:rsidR="00BC5A6E" w:rsidRPr="00967F0B">
        <w:rPr>
          <w:rFonts w:ascii="Times New Roman" w:hAnsi="Times New Roman" w:cs="Times New Roman"/>
          <w:sz w:val="24"/>
          <w:szCs w:val="24"/>
        </w:rPr>
        <w:t xml:space="preserve">sulle </w:t>
      </w:r>
      <w:r w:rsidRPr="008B4B2F">
        <w:rPr>
          <w:rFonts w:ascii="Times New Roman" w:hAnsi="Times New Roman" w:cs="Times New Roman"/>
          <w:sz w:val="24"/>
          <w:szCs w:val="24"/>
        </w:rPr>
        <w:t>assegnazion</w:t>
      </w:r>
      <w:r w:rsidR="00BC5A6E" w:rsidRPr="00967F0B">
        <w:rPr>
          <w:rFonts w:ascii="Times New Roman" w:hAnsi="Times New Roman" w:cs="Times New Roman"/>
          <w:sz w:val="24"/>
          <w:szCs w:val="24"/>
        </w:rPr>
        <w:t>i regionali</w:t>
      </w:r>
      <w:r w:rsidRPr="008B4B2F">
        <w:rPr>
          <w:rFonts w:ascii="Times New Roman" w:hAnsi="Times New Roman" w:cs="Times New Roman"/>
          <w:sz w:val="24"/>
          <w:szCs w:val="24"/>
        </w:rPr>
        <w:t xml:space="preserve"> delle risorse statali per la copertura dei LEA. </w:t>
      </w:r>
    </w:p>
    <w:p w14:paraId="0219E0F1" w14:textId="7CD2FD9B" w:rsidR="008B4B2F" w:rsidRPr="008B4B2F" w:rsidRDefault="008B4B2F" w:rsidP="008B4B2F">
      <w:pPr>
        <w:spacing w:after="0" w:line="360" w:lineRule="auto"/>
        <w:ind w:firstLine="708"/>
        <w:jc w:val="both"/>
        <w:rPr>
          <w:rFonts w:ascii="Times New Roman" w:hAnsi="Times New Roman" w:cs="Times New Roman"/>
          <w:sz w:val="24"/>
          <w:szCs w:val="24"/>
        </w:rPr>
      </w:pPr>
      <w:r w:rsidRPr="008B4B2F">
        <w:rPr>
          <w:rFonts w:ascii="Times New Roman" w:hAnsi="Times New Roman" w:cs="Times New Roman"/>
          <w:sz w:val="24"/>
          <w:szCs w:val="24"/>
        </w:rPr>
        <w:t>Sono state poi stimate l</w:t>
      </w:r>
      <w:r w:rsidR="00BC5A6E" w:rsidRPr="00967F0B">
        <w:rPr>
          <w:rFonts w:ascii="Times New Roman" w:hAnsi="Times New Roman" w:cs="Times New Roman"/>
          <w:sz w:val="24"/>
          <w:szCs w:val="24"/>
        </w:rPr>
        <w:t>e</w:t>
      </w:r>
      <w:r w:rsidRPr="008B4B2F">
        <w:rPr>
          <w:rFonts w:ascii="Times New Roman" w:hAnsi="Times New Roman" w:cs="Times New Roman"/>
          <w:sz w:val="24"/>
          <w:szCs w:val="24"/>
        </w:rPr>
        <w:t xml:space="preserve"> quot</w:t>
      </w:r>
      <w:r w:rsidR="00BC5A6E" w:rsidRPr="00967F0B">
        <w:rPr>
          <w:rFonts w:ascii="Times New Roman" w:hAnsi="Times New Roman" w:cs="Times New Roman"/>
          <w:sz w:val="24"/>
          <w:szCs w:val="24"/>
        </w:rPr>
        <w:t>e</w:t>
      </w:r>
      <w:r w:rsidRPr="008B4B2F">
        <w:rPr>
          <w:rFonts w:ascii="Times New Roman" w:hAnsi="Times New Roman" w:cs="Times New Roman"/>
          <w:sz w:val="24"/>
          <w:szCs w:val="24"/>
        </w:rPr>
        <w:t xml:space="preserve"> di compartecipazion</w:t>
      </w:r>
      <w:r w:rsidR="00BC5A6E" w:rsidRPr="00967F0B">
        <w:rPr>
          <w:rFonts w:ascii="Times New Roman" w:hAnsi="Times New Roman" w:cs="Times New Roman"/>
          <w:sz w:val="24"/>
          <w:szCs w:val="24"/>
        </w:rPr>
        <w:t>e</w:t>
      </w:r>
      <w:r w:rsidRPr="008B4B2F">
        <w:rPr>
          <w:rFonts w:ascii="Times New Roman" w:hAnsi="Times New Roman" w:cs="Times New Roman"/>
          <w:sz w:val="24"/>
          <w:szCs w:val="24"/>
        </w:rPr>
        <w:t xml:space="preserve"> ai gettiti nazionali necessarie al finanziamento delle competenze decentrate</w:t>
      </w:r>
      <w:r w:rsidR="00967F0B" w:rsidRPr="00967F0B">
        <w:rPr>
          <w:rFonts w:ascii="Times New Roman" w:hAnsi="Times New Roman" w:cs="Times New Roman"/>
          <w:sz w:val="24"/>
          <w:szCs w:val="24"/>
        </w:rPr>
        <w:t>,</w:t>
      </w:r>
      <w:r w:rsidRPr="008B4B2F">
        <w:rPr>
          <w:rFonts w:ascii="Times New Roman" w:hAnsi="Times New Roman" w:cs="Times New Roman"/>
          <w:sz w:val="24"/>
          <w:szCs w:val="24"/>
        </w:rPr>
        <w:t xml:space="preserve"> ipotizzando la concessione delle ulteriori forme di autonomia nel 2017 a Emilia-Romagna, Lombardia e Veneto. Di conseguenza</w:t>
      </w:r>
      <w:r w:rsidR="0048405D">
        <w:rPr>
          <w:rFonts w:ascii="Times New Roman" w:hAnsi="Times New Roman" w:cs="Times New Roman"/>
          <w:sz w:val="24"/>
          <w:szCs w:val="24"/>
        </w:rPr>
        <w:t>,</w:t>
      </w:r>
      <w:r w:rsidRPr="008B4B2F">
        <w:rPr>
          <w:rFonts w:ascii="Times New Roman" w:hAnsi="Times New Roman" w:cs="Times New Roman"/>
          <w:sz w:val="24"/>
          <w:szCs w:val="24"/>
        </w:rPr>
        <w:t xml:space="preserve"> l’anno base preso a riferimento per la determinazione della compartecipazione è il 2016, nelle due ipotesi di compartecipazione ai gettiti IRPEF e IVA</w:t>
      </w:r>
      <w:r w:rsidRPr="008B4B2F">
        <w:rPr>
          <w:rFonts w:ascii="Times New Roman" w:hAnsi="Times New Roman" w:cs="Times New Roman"/>
          <w:sz w:val="24"/>
          <w:szCs w:val="24"/>
          <w:vertAlign w:val="superscript"/>
        </w:rPr>
        <w:footnoteReference w:id="3"/>
      </w:r>
      <w:r w:rsidRPr="008B4B2F">
        <w:rPr>
          <w:rFonts w:ascii="Times New Roman" w:hAnsi="Times New Roman" w:cs="Times New Roman"/>
          <w:sz w:val="24"/>
          <w:szCs w:val="24"/>
        </w:rPr>
        <w:t>.</w:t>
      </w:r>
    </w:p>
    <w:p w14:paraId="506EB9C3" w14:textId="52AA597D" w:rsidR="008B4B2F" w:rsidRPr="00967F0B" w:rsidRDefault="008B4B2F" w:rsidP="008B4B2F">
      <w:pPr>
        <w:spacing w:after="0" w:line="360" w:lineRule="auto"/>
        <w:ind w:firstLine="708"/>
        <w:jc w:val="both"/>
        <w:rPr>
          <w:rFonts w:ascii="Times New Roman" w:hAnsi="Times New Roman" w:cs="Times New Roman"/>
          <w:sz w:val="24"/>
          <w:szCs w:val="24"/>
        </w:rPr>
      </w:pPr>
      <w:r w:rsidRPr="008B4B2F">
        <w:rPr>
          <w:rFonts w:ascii="Times New Roman" w:hAnsi="Times New Roman" w:cs="Times New Roman"/>
          <w:sz w:val="24"/>
          <w:szCs w:val="24"/>
        </w:rPr>
        <w:t>Come risulta dalla Tab. 2, le funzioni delegate assorbirebbero larga parte dell'IRPEF regionale (il 90% circa nel caso del Veneto</w:t>
      </w:r>
      <w:r w:rsidR="00093B82" w:rsidRPr="00967F0B">
        <w:rPr>
          <w:rFonts w:ascii="Times New Roman" w:hAnsi="Times New Roman" w:cs="Times New Roman"/>
          <w:sz w:val="24"/>
          <w:szCs w:val="24"/>
        </w:rPr>
        <w:t xml:space="preserve">, quote tra il 70 e l’80% per Lombardia ed </w:t>
      </w:r>
      <w:r w:rsidR="00560CDA" w:rsidRPr="00967F0B">
        <w:rPr>
          <w:rFonts w:ascii="Times New Roman" w:hAnsi="Times New Roman" w:cs="Times New Roman"/>
          <w:sz w:val="24"/>
          <w:szCs w:val="24"/>
        </w:rPr>
        <w:t>Emilia-Romagna</w:t>
      </w:r>
      <w:r w:rsidRPr="008B4B2F">
        <w:rPr>
          <w:rFonts w:ascii="Times New Roman" w:hAnsi="Times New Roman" w:cs="Times New Roman"/>
          <w:sz w:val="24"/>
          <w:szCs w:val="24"/>
        </w:rPr>
        <w:t xml:space="preserve">). Nell’ipotesi di utilizzo del gettito dell’IVA in tutte e tre le regioni esso non coprirebbe il fabbisogno finanziario ma occorrerebbe una integrazione del gettito Irpef. Di fatto emergerebbe un sistema di finanziamento molto simile a quello attualmente utilizzato per le regioni a statuto speciale. </w:t>
      </w:r>
    </w:p>
    <w:p w14:paraId="0A238A7B" w14:textId="77777777" w:rsidR="00560CDA" w:rsidRPr="008B4B2F" w:rsidRDefault="00560CDA" w:rsidP="00560CDA">
      <w:pPr>
        <w:spacing w:after="0" w:line="360" w:lineRule="auto"/>
        <w:jc w:val="both"/>
        <w:rPr>
          <w:rFonts w:ascii="Times New Roman" w:hAnsi="Times New Roman" w:cs="Times New Roman"/>
        </w:rPr>
      </w:pPr>
    </w:p>
    <w:p w14:paraId="10843F11" w14:textId="77777777" w:rsidR="00560CDA" w:rsidRPr="008B4B2F" w:rsidRDefault="00560CDA" w:rsidP="00560CDA">
      <w:pPr>
        <w:spacing w:after="0" w:line="360" w:lineRule="auto"/>
        <w:jc w:val="both"/>
        <w:rPr>
          <w:rFonts w:ascii="Times New Roman" w:hAnsi="Times New Roman" w:cs="Times New Roman"/>
        </w:rPr>
      </w:pPr>
      <w:r w:rsidRPr="008B4B2F">
        <w:rPr>
          <w:rFonts w:ascii="Times New Roman" w:hAnsi="Times New Roman" w:cs="Times New Roman"/>
        </w:rPr>
        <w:t>Tab. 2 Compartecipazioni in % al gettito dei tributi statali</w:t>
      </w:r>
    </w:p>
    <w:tbl>
      <w:tblPr>
        <w:tblW w:w="0" w:type="auto"/>
        <w:tblCellMar>
          <w:left w:w="70" w:type="dxa"/>
          <w:right w:w="70" w:type="dxa"/>
        </w:tblCellMar>
        <w:tblLook w:val="04A0" w:firstRow="1" w:lastRow="0" w:firstColumn="1" w:lastColumn="0" w:noHBand="0" w:noVBand="1"/>
      </w:tblPr>
      <w:tblGrid>
        <w:gridCol w:w="1643"/>
        <w:gridCol w:w="2188"/>
        <w:gridCol w:w="2506"/>
        <w:gridCol w:w="2733"/>
      </w:tblGrid>
      <w:tr w:rsidR="00560CDA" w:rsidRPr="008B4B2F" w14:paraId="02A33E15" w14:textId="77777777" w:rsidTr="004A3873">
        <w:trPr>
          <w:trHeight w:val="750"/>
        </w:trPr>
        <w:tc>
          <w:tcPr>
            <w:tcW w:w="0" w:type="auto"/>
            <w:vMerge w:val="restart"/>
            <w:tcBorders>
              <w:top w:val="single" w:sz="4" w:space="0" w:color="auto"/>
              <w:left w:val="nil"/>
              <w:bottom w:val="single" w:sz="4" w:space="0" w:color="000000"/>
              <w:right w:val="nil"/>
            </w:tcBorders>
            <w:shd w:val="clear" w:color="auto" w:fill="auto"/>
            <w:vAlign w:val="center"/>
            <w:hideMark/>
          </w:tcPr>
          <w:p w14:paraId="3C74335C"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Regioni</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50E33580"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 xml:space="preserve"> scenario compartecipazione IRPEF</w:t>
            </w:r>
          </w:p>
        </w:tc>
        <w:tc>
          <w:tcPr>
            <w:tcW w:w="0" w:type="auto"/>
            <w:gridSpan w:val="2"/>
            <w:tcBorders>
              <w:top w:val="single" w:sz="4" w:space="0" w:color="auto"/>
              <w:left w:val="nil"/>
              <w:bottom w:val="single" w:sz="4" w:space="0" w:color="auto"/>
              <w:right w:val="nil"/>
            </w:tcBorders>
            <w:shd w:val="clear" w:color="auto" w:fill="auto"/>
            <w:vAlign w:val="center"/>
            <w:hideMark/>
          </w:tcPr>
          <w:p w14:paraId="37884A9D"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scenario compartecipazione IVA integrata da compartecipazione IRPEF</w:t>
            </w:r>
          </w:p>
        </w:tc>
      </w:tr>
      <w:tr w:rsidR="00560CDA" w:rsidRPr="008B4B2F" w14:paraId="2CBDA0CD" w14:textId="77777777" w:rsidTr="004A3873">
        <w:trPr>
          <w:trHeight w:val="300"/>
        </w:trPr>
        <w:tc>
          <w:tcPr>
            <w:tcW w:w="0" w:type="auto"/>
            <w:vMerge/>
            <w:tcBorders>
              <w:top w:val="single" w:sz="4" w:space="0" w:color="auto"/>
              <w:left w:val="nil"/>
              <w:bottom w:val="single" w:sz="4" w:space="0" w:color="000000"/>
              <w:right w:val="nil"/>
            </w:tcBorders>
            <w:vAlign w:val="center"/>
            <w:hideMark/>
          </w:tcPr>
          <w:p w14:paraId="4B916553" w14:textId="77777777" w:rsidR="00560CDA" w:rsidRPr="008B4B2F" w:rsidRDefault="00560CDA" w:rsidP="004A3873">
            <w:pPr>
              <w:widowControl/>
              <w:spacing w:after="0" w:line="240" w:lineRule="auto"/>
              <w:rPr>
                <w:rFonts w:ascii="Times New Roman" w:eastAsia="Times New Roman" w:hAnsi="Times New Roman" w:cs="Times New Roman"/>
              </w:rPr>
            </w:pPr>
          </w:p>
        </w:tc>
        <w:tc>
          <w:tcPr>
            <w:tcW w:w="0" w:type="auto"/>
            <w:vMerge/>
            <w:tcBorders>
              <w:top w:val="single" w:sz="4" w:space="0" w:color="auto"/>
              <w:left w:val="nil"/>
              <w:bottom w:val="single" w:sz="4" w:space="0" w:color="000000"/>
              <w:right w:val="nil"/>
            </w:tcBorders>
            <w:vAlign w:val="center"/>
            <w:hideMark/>
          </w:tcPr>
          <w:p w14:paraId="23E8F5C0" w14:textId="77777777" w:rsidR="00560CDA" w:rsidRPr="008B4B2F" w:rsidRDefault="00560CDA" w:rsidP="004A3873">
            <w:pPr>
              <w:widowControl/>
              <w:spacing w:after="0" w:line="240" w:lineRule="auto"/>
              <w:rPr>
                <w:rFonts w:ascii="Times New Roman" w:eastAsia="Times New Roman" w:hAnsi="Times New Roman" w:cs="Times New Roman"/>
              </w:rPr>
            </w:pPr>
          </w:p>
        </w:tc>
        <w:tc>
          <w:tcPr>
            <w:tcW w:w="0" w:type="auto"/>
            <w:tcBorders>
              <w:top w:val="nil"/>
              <w:left w:val="nil"/>
              <w:bottom w:val="single" w:sz="4" w:space="0" w:color="auto"/>
              <w:right w:val="nil"/>
            </w:tcBorders>
            <w:shd w:val="clear" w:color="auto" w:fill="auto"/>
            <w:noWrap/>
            <w:vAlign w:val="bottom"/>
            <w:hideMark/>
          </w:tcPr>
          <w:p w14:paraId="3B289400" w14:textId="77777777" w:rsidR="00560CDA" w:rsidRPr="008B4B2F" w:rsidRDefault="00560CDA" w:rsidP="004A3873">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Compartecipazione IVA</w:t>
            </w:r>
          </w:p>
        </w:tc>
        <w:tc>
          <w:tcPr>
            <w:tcW w:w="0" w:type="auto"/>
            <w:tcBorders>
              <w:top w:val="nil"/>
              <w:left w:val="nil"/>
              <w:bottom w:val="single" w:sz="4" w:space="0" w:color="auto"/>
              <w:right w:val="nil"/>
            </w:tcBorders>
            <w:shd w:val="clear" w:color="auto" w:fill="auto"/>
            <w:noWrap/>
            <w:vAlign w:val="bottom"/>
            <w:hideMark/>
          </w:tcPr>
          <w:p w14:paraId="1EC2A842" w14:textId="77777777" w:rsidR="00560CDA" w:rsidRPr="008B4B2F" w:rsidRDefault="00560CDA" w:rsidP="004A3873">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Compartecipazione IRPEF</w:t>
            </w:r>
          </w:p>
        </w:tc>
      </w:tr>
      <w:tr w:rsidR="00560CDA" w:rsidRPr="008B4B2F" w14:paraId="797FCFF3" w14:textId="77777777" w:rsidTr="004A3873">
        <w:trPr>
          <w:trHeight w:val="300"/>
        </w:trPr>
        <w:tc>
          <w:tcPr>
            <w:tcW w:w="0" w:type="auto"/>
            <w:tcBorders>
              <w:top w:val="nil"/>
              <w:left w:val="nil"/>
              <w:bottom w:val="nil"/>
              <w:right w:val="nil"/>
            </w:tcBorders>
            <w:shd w:val="clear" w:color="auto" w:fill="auto"/>
            <w:noWrap/>
            <w:vAlign w:val="bottom"/>
            <w:hideMark/>
          </w:tcPr>
          <w:p w14:paraId="01CEB47D" w14:textId="7E9DB2D6" w:rsidR="00560CDA" w:rsidRPr="008B4B2F" w:rsidRDefault="00560CDA" w:rsidP="004A3873">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Emilia</w:t>
            </w:r>
            <w:r w:rsidR="008C6335">
              <w:rPr>
                <w:rFonts w:ascii="Times New Roman" w:eastAsia="Times New Roman" w:hAnsi="Times New Roman" w:cs="Times New Roman"/>
              </w:rPr>
              <w:t>-</w:t>
            </w:r>
            <w:r w:rsidRPr="008B4B2F">
              <w:rPr>
                <w:rFonts w:ascii="Times New Roman" w:eastAsia="Times New Roman" w:hAnsi="Times New Roman" w:cs="Times New Roman"/>
              </w:rPr>
              <w:t>Romagna</w:t>
            </w:r>
          </w:p>
        </w:tc>
        <w:tc>
          <w:tcPr>
            <w:tcW w:w="0" w:type="auto"/>
            <w:tcBorders>
              <w:top w:val="nil"/>
              <w:left w:val="nil"/>
              <w:bottom w:val="nil"/>
              <w:right w:val="nil"/>
            </w:tcBorders>
            <w:shd w:val="clear" w:color="auto" w:fill="auto"/>
            <w:noWrap/>
            <w:vAlign w:val="bottom"/>
            <w:hideMark/>
          </w:tcPr>
          <w:p w14:paraId="71EED4FB"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78,8</w:t>
            </w:r>
          </w:p>
        </w:tc>
        <w:tc>
          <w:tcPr>
            <w:tcW w:w="0" w:type="auto"/>
            <w:tcBorders>
              <w:top w:val="nil"/>
              <w:left w:val="nil"/>
              <w:bottom w:val="nil"/>
              <w:right w:val="nil"/>
            </w:tcBorders>
            <w:shd w:val="clear" w:color="auto" w:fill="auto"/>
            <w:noWrap/>
            <w:vAlign w:val="bottom"/>
            <w:hideMark/>
          </w:tcPr>
          <w:p w14:paraId="726D9C84"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100</w:t>
            </w:r>
          </w:p>
        </w:tc>
        <w:tc>
          <w:tcPr>
            <w:tcW w:w="0" w:type="auto"/>
            <w:tcBorders>
              <w:top w:val="nil"/>
              <w:left w:val="nil"/>
              <w:bottom w:val="nil"/>
              <w:right w:val="nil"/>
            </w:tcBorders>
            <w:shd w:val="clear" w:color="auto" w:fill="auto"/>
            <w:noWrap/>
            <w:vAlign w:val="bottom"/>
            <w:hideMark/>
          </w:tcPr>
          <w:p w14:paraId="721A641E"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23,2</w:t>
            </w:r>
          </w:p>
        </w:tc>
      </w:tr>
      <w:tr w:rsidR="00560CDA" w:rsidRPr="008B4B2F" w14:paraId="768BA993" w14:textId="77777777" w:rsidTr="004A3873">
        <w:trPr>
          <w:trHeight w:val="300"/>
        </w:trPr>
        <w:tc>
          <w:tcPr>
            <w:tcW w:w="0" w:type="auto"/>
            <w:tcBorders>
              <w:top w:val="nil"/>
              <w:left w:val="nil"/>
              <w:bottom w:val="nil"/>
              <w:right w:val="nil"/>
            </w:tcBorders>
            <w:shd w:val="clear" w:color="auto" w:fill="auto"/>
            <w:noWrap/>
            <w:vAlign w:val="bottom"/>
            <w:hideMark/>
          </w:tcPr>
          <w:p w14:paraId="3759A3A0" w14:textId="77777777" w:rsidR="00560CDA" w:rsidRPr="008B4B2F" w:rsidRDefault="00560CDA" w:rsidP="004A3873">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Lombardia</w:t>
            </w:r>
          </w:p>
        </w:tc>
        <w:tc>
          <w:tcPr>
            <w:tcW w:w="0" w:type="auto"/>
            <w:tcBorders>
              <w:top w:val="nil"/>
              <w:left w:val="nil"/>
              <w:bottom w:val="nil"/>
              <w:right w:val="nil"/>
            </w:tcBorders>
            <w:shd w:val="clear" w:color="auto" w:fill="auto"/>
            <w:noWrap/>
            <w:vAlign w:val="bottom"/>
            <w:hideMark/>
          </w:tcPr>
          <w:p w14:paraId="04E6FED4"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70,7</w:t>
            </w:r>
          </w:p>
        </w:tc>
        <w:tc>
          <w:tcPr>
            <w:tcW w:w="0" w:type="auto"/>
            <w:tcBorders>
              <w:top w:val="nil"/>
              <w:left w:val="nil"/>
              <w:bottom w:val="nil"/>
              <w:right w:val="nil"/>
            </w:tcBorders>
            <w:shd w:val="clear" w:color="auto" w:fill="auto"/>
            <w:noWrap/>
            <w:vAlign w:val="bottom"/>
            <w:hideMark/>
          </w:tcPr>
          <w:p w14:paraId="2CCACC5B"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100</w:t>
            </w:r>
          </w:p>
        </w:tc>
        <w:tc>
          <w:tcPr>
            <w:tcW w:w="0" w:type="auto"/>
            <w:tcBorders>
              <w:top w:val="nil"/>
              <w:left w:val="nil"/>
              <w:bottom w:val="nil"/>
              <w:right w:val="nil"/>
            </w:tcBorders>
            <w:shd w:val="clear" w:color="auto" w:fill="auto"/>
            <w:noWrap/>
            <w:vAlign w:val="bottom"/>
            <w:hideMark/>
          </w:tcPr>
          <w:p w14:paraId="7B0E8184"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20,5</w:t>
            </w:r>
          </w:p>
        </w:tc>
      </w:tr>
      <w:tr w:rsidR="00560CDA" w:rsidRPr="008B4B2F" w14:paraId="53426532" w14:textId="77777777" w:rsidTr="004A3873">
        <w:trPr>
          <w:trHeight w:val="300"/>
        </w:trPr>
        <w:tc>
          <w:tcPr>
            <w:tcW w:w="0" w:type="auto"/>
            <w:tcBorders>
              <w:top w:val="nil"/>
              <w:left w:val="nil"/>
              <w:bottom w:val="single" w:sz="4" w:space="0" w:color="auto"/>
              <w:right w:val="nil"/>
            </w:tcBorders>
            <w:shd w:val="clear" w:color="auto" w:fill="auto"/>
            <w:noWrap/>
            <w:vAlign w:val="bottom"/>
            <w:hideMark/>
          </w:tcPr>
          <w:p w14:paraId="66F559B8" w14:textId="77777777" w:rsidR="00560CDA" w:rsidRPr="008B4B2F" w:rsidRDefault="00560CDA" w:rsidP="004A3873">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Veneto</w:t>
            </w:r>
          </w:p>
        </w:tc>
        <w:tc>
          <w:tcPr>
            <w:tcW w:w="0" w:type="auto"/>
            <w:tcBorders>
              <w:top w:val="nil"/>
              <w:left w:val="nil"/>
              <w:bottom w:val="single" w:sz="4" w:space="0" w:color="auto"/>
              <w:right w:val="nil"/>
            </w:tcBorders>
            <w:shd w:val="clear" w:color="auto" w:fill="auto"/>
            <w:noWrap/>
            <w:vAlign w:val="bottom"/>
            <w:hideMark/>
          </w:tcPr>
          <w:p w14:paraId="6D7FE8A5"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90,2</w:t>
            </w:r>
          </w:p>
        </w:tc>
        <w:tc>
          <w:tcPr>
            <w:tcW w:w="0" w:type="auto"/>
            <w:tcBorders>
              <w:top w:val="nil"/>
              <w:left w:val="nil"/>
              <w:bottom w:val="single" w:sz="4" w:space="0" w:color="auto"/>
              <w:right w:val="nil"/>
            </w:tcBorders>
            <w:shd w:val="clear" w:color="auto" w:fill="auto"/>
            <w:noWrap/>
            <w:vAlign w:val="bottom"/>
            <w:hideMark/>
          </w:tcPr>
          <w:p w14:paraId="5F0CE4FF"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100</w:t>
            </w:r>
          </w:p>
        </w:tc>
        <w:tc>
          <w:tcPr>
            <w:tcW w:w="0" w:type="auto"/>
            <w:tcBorders>
              <w:top w:val="nil"/>
              <w:left w:val="nil"/>
              <w:bottom w:val="single" w:sz="4" w:space="0" w:color="auto"/>
              <w:right w:val="nil"/>
            </w:tcBorders>
            <w:shd w:val="clear" w:color="auto" w:fill="auto"/>
            <w:noWrap/>
            <w:vAlign w:val="bottom"/>
            <w:hideMark/>
          </w:tcPr>
          <w:p w14:paraId="0CB9E993" w14:textId="77777777" w:rsidR="00560CDA" w:rsidRPr="008B4B2F" w:rsidRDefault="00560CDA"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33,5</w:t>
            </w:r>
          </w:p>
        </w:tc>
      </w:tr>
    </w:tbl>
    <w:p w14:paraId="3531233B" w14:textId="77777777" w:rsidR="00560CDA" w:rsidRPr="008B4B2F" w:rsidRDefault="00560CDA" w:rsidP="00560CDA">
      <w:pPr>
        <w:spacing w:after="0" w:line="360" w:lineRule="auto"/>
        <w:jc w:val="both"/>
        <w:rPr>
          <w:rFonts w:ascii="Times New Roman" w:hAnsi="Times New Roman" w:cs="Times New Roman"/>
        </w:rPr>
      </w:pPr>
    </w:p>
    <w:p w14:paraId="42D942F5" w14:textId="67B543D8" w:rsidR="008B4B2F" w:rsidRPr="008B4B2F" w:rsidRDefault="008B4B2F" w:rsidP="008B4B2F">
      <w:pPr>
        <w:spacing w:after="0" w:line="360" w:lineRule="auto"/>
        <w:ind w:firstLine="708"/>
        <w:jc w:val="both"/>
        <w:rPr>
          <w:rFonts w:ascii="Times New Roman" w:hAnsi="Times New Roman" w:cs="Times New Roman"/>
        </w:rPr>
      </w:pPr>
      <w:r w:rsidRPr="008B4B2F">
        <w:rPr>
          <w:rFonts w:ascii="Times New Roman" w:hAnsi="Times New Roman" w:cs="Times New Roman"/>
        </w:rPr>
        <w:t xml:space="preserve">Rilevanti sarebbero inoltre gli effetti in termini di contrazione del Bilancio nazionale con una conseguente riduzione degli spazi di azione della finanza pubblica centrale. Si consideri che il gettito </w:t>
      </w:r>
      <w:r w:rsidR="005461E3">
        <w:rPr>
          <w:rFonts w:ascii="Times New Roman" w:hAnsi="Times New Roman" w:cs="Times New Roman"/>
        </w:rPr>
        <w:t>IRPEF</w:t>
      </w:r>
      <w:r w:rsidRPr="008B4B2F">
        <w:rPr>
          <w:rFonts w:ascii="Times New Roman" w:hAnsi="Times New Roman" w:cs="Times New Roman"/>
        </w:rPr>
        <w:t xml:space="preserve"> trattenuto dalle tre </w:t>
      </w:r>
      <w:r w:rsidR="00E05E96">
        <w:rPr>
          <w:rFonts w:ascii="Times New Roman" w:hAnsi="Times New Roman" w:cs="Times New Roman"/>
        </w:rPr>
        <w:t>R</w:t>
      </w:r>
      <w:r w:rsidRPr="008B4B2F">
        <w:rPr>
          <w:rFonts w:ascii="Times New Roman" w:hAnsi="Times New Roman" w:cs="Times New Roman"/>
        </w:rPr>
        <w:t xml:space="preserve">egioni risulterebbe pari a circa il 30% del gettito totale nazionale. </w:t>
      </w:r>
    </w:p>
    <w:p w14:paraId="23EA9808" w14:textId="48D78DC7" w:rsidR="008B4B2F" w:rsidRPr="008B4B2F" w:rsidRDefault="008B4B2F" w:rsidP="00251AF7">
      <w:pPr>
        <w:spacing w:after="0" w:line="360" w:lineRule="auto"/>
        <w:ind w:firstLine="708"/>
        <w:jc w:val="both"/>
        <w:rPr>
          <w:rFonts w:ascii="Times New Roman" w:hAnsi="Times New Roman" w:cs="Times New Roman"/>
          <w:color w:val="auto"/>
          <w:sz w:val="24"/>
          <w:szCs w:val="24"/>
        </w:rPr>
      </w:pPr>
      <w:r w:rsidRPr="008B4B2F">
        <w:rPr>
          <w:rFonts w:ascii="Times New Roman" w:hAnsi="Times New Roman" w:cs="Times New Roman"/>
          <w:color w:val="auto"/>
          <w:sz w:val="24"/>
          <w:szCs w:val="24"/>
        </w:rPr>
        <w:t xml:space="preserve">Si è poi proceduto ad effettuare un esercizio, puramente teorico, su cosa sarebbe accaduto nel caso di accesso all’autonomia differenziata delle tre </w:t>
      </w:r>
      <w:r w:rsidR="00E05E96">
        <w:rPr>
          <w:rFonts w:ascii="Times New Roman" w:hAnsi="Times New Roman" w:cs="Times New Roman"/>
          <w:color w:val="auto"/>
          <w:sz w:val="24"/>
          <w:szCs w:val="24"/>
        </w:rPr>
        <w:t>R</w:t>
      </w:r>
      <w:r w:rsidRPr="008B4B2F">
        <w:rPr>
          <w:rFonts w:ascii="Times New Roman" w:hAnsi="Times New Roman" w:cs="Times New Roman"/>
          <w:color w:val="auto"/>
          <w:sz w:val="24"/>
          <w:szCs w:val="24"/>
        </w:rPr>
        <w:t xml:space="preserve">egioni nel 2017 e di utilizzo </w:t>
      </w:r>
      <w:r w:rsidR="00A55C64">
        <w:rPr>
          <w:rFonts w:ascii="Times New Roman" w:hAnsi="Times New Roman" w:cs="Times New Roman"/>
          <w:color w:val="auto"/>
          <w:sz w:val="24"/>
          <w:szCs w:val="24"/>
        </w:rPr>
        <w:t>di</w:t>
      </w:r>
      <w:r w:rsidRPr="008B4B2F">
        <w:rPr>
          <w:rFonts w:ascii="Times New Roman" w:hAnsi="Times New Roman" w:cs="Times New Roman"/>
          <w:color w:val="auto"/>
          <w:sz w:val="24"/>
          <w:szCs w:val="24"/>
        </w:rPr>
        <w:t xml:space="preserve"> compartecipazioni al gettito di tributi statali in misura tale da garantire al momento di avvio di applicazione dell’intesa risorse corrispondenti al fabbisogno di spesa del territorio regionale. Le aliquote di compartecipazione vengono mantenute costanti, facendo quindi dipendere l’effettiva disponibilità di risorse per la Regione dall’andamento nel proprio territorio del tributo compartecipato. Nel primo anno, nulla cambierebbe in termini di sostenibilità della finanza pubblica e redistribuzione interregionale. Le criticità emerg</w:t>
      </w:r>
      <w:r w:rsidR="005A78DB">
        <w:rPr>
          <w:rFonts w:ascii="Times New Roman" w:hAnsi="Times New Roman" w:cs="Times New Roman"/>
          <w:color w:val="auto"/>
          <w:sz w:val="24"/>
          <w:szCs w:val="24"/>
        </w:rPr>
        <w:t>erebbero</w:t>
      </w:r>
      <w:r w:rsidRPr="008B4B2F">
        <w:rPr>
          <w:rFonts w:ascii="Times New Roman" w:hAnsi="Times New Roman" w:cs="Times New Roman"/>
          <w:color w:val="auto"/>
          <w:sz w:val="24"/>
          <w:szCs w:val="24"/>
        </w:rPr>
        <w:t xml:space="preserve"> invece negli anni successivi alla determinazione iniziale delle risorse finanziarie, quando fabbisogni di spesa e risorse assegnate evolvono </w:t>
      </w:r>
      <w:r w:rsidR="005A78DB">
        <w:rPr>
          <w:rFonts w:ascii="Times New Roman" w:hAnsi="Times New Roman" w:cs="Times New Roman"/>
          <w:color w:val="auto"/>
          <w:sz w:val="24"/>
          <w:szCs w:val="24"/>
        </w:rPr>
        <w:t>in maniera</w:t>
      </w:r>
      <w:r w:rsidRPr="008B4B2F">
        <w:rPr>
          <w:rFonts w:ascii="Times New Roman" w:hAnsi="Times New Roman" w:cs="Times New Roman"/>
          <w:color w:val="auto"/>
          <w:sz w:val="24"/>
          <w:szCs w:val="24"/>
        </w:rPr>
        <w:t> divergent</w:t>
      </w:r>
      <w:r w:rsidR="005A78DB">
        <w:rPr>
          <w:rFonts w:ascii="Times New Roman" w:hAnsi="Times New Roman" w:cs="Times New Roman"/>
          <w:color w:val="auto"/>
          <w:sz w:val="24"/>
          <w:szCs w:val="24"/>
        </w:rPr>
        <w:t>e</w:t>
      </w:r>
      <w:r w:rsidRPr="008B4B2F">
        <w:rPr>
          <w:rFonts w:ascii="Times New Roman" w:hAnsi="Times New Roman" w:cs="Times New Roman"/>
          <w:color w:val="auto"/>
          <w:sz w:val="24"/>
          <w:szCs w:val="24"/>
        </w:rPr>
        <w:t>.</w:t>
      </w:r>
    </w:p>
    <w:p w14:paraId="79D73B60" w14:textId="08097402" w:rsidR="008B4B2F" w:rsidRDefault="008B4B2F" w:rsidP="001775B4">
      <w:pPr>
        <w:spacing w:after="0" w:line="360" w:lineRule="auto"/>
        <w:ind w:firstLine="708"/>
        <w:jc w:val="both"/>
        <w:rPr>
          <w:rFonts w:ascii="Times New Roman" w:hAnsi="Times New Roman" w:cs="Times New Roman"/>
          <w:color w:val="auto"/>
          <w:sz w:val="24"/>
          <w:szCs w:val="24"/>
        </w:rPr>
      </w:pPr>
      <w:r w:rsidRPr="008B4B2F">
        <w:rPr>
          <w:rFonts w:ascii="Times New Roman" w:hAnsi="Times New Roman" w:cs="Times New Roman"/>
          <w:color w:val="auto"/>
          <w:sz w:val="24"/>
          <w:szCs w:val="24"/>
        </w:rPr>
        <w:t>Come emerge dai grafici</w:t>
      </w:r>
      <w:r w:rsidR="005A78DB">
        <w:rPr>
          <w:rFonts w:ascii="Times New Roman" w:hAnsi="Times New Roman" w:cs="Times New Roman"/>
          <w:color w:val="auto"/>
          <w:sz w:val="24"/>
          <w:szCs w:val="24"/>
        </w:rPr>
        <w:t xml:space="preserve"> seguenti</w:t>
      </w:r>
      <w:r w:rsidRPr="008B4B2F">
        <w:rPr>
          <w:rFonts w:ascii="Times New Roman" w:hAnsi="Times New Roman" w:cs="Times New Roman"/>
          <w:color w:val="auto"/>
          <w:sz w:val="24"/>
          <w:szCs w:val="24"/>
        </w:rPr>
        <w:t>, l</w:t>
      </w:r>
      <w:r w:rsidR="002B6C9D">
        <w:rPr>
          <w:rFonts w:ascii="Times New Roman" w:hAnsi="Times New Roman" w:cs="Times New Roman"/>
          <w:color w:val="auto"/>
          <w:sz w:val="24"/>
          <w:szCs w:val="24"/>
        </w:rPr>
        <w:t xml:space="preserve">e compartecipazioni </w:t>
      </w:r>
      <w:r w:rsidRPr="008B4B2F">
        <w:rPr>
          <w:rFonts w:ascii="Times New Roman" w:hAnsi="Times New Roman" w:cs="Times New Roman"/>
          <w:color w:val="auto"/>
          <w:sz w:val="24"/>
          <w:szCs w:val="24"/>
        </w:rPr>
        <w:t>mostra</w:t>
      </w:r>
      <w:r w:rsidR="002B6C9D">
        <w:rPr>
          <w:rFonts w:ascii="Times New Roman" w:hAnsi="Times New Roman" w:cs="Times New Roman"/>
          <w:color w:val="auto"/>
          <w:sz w:val="24"/>
          <w:szCs w:val="24"/>
        </w:rPr>
        <w:t>no</w:t>
      </w:r>
      <w:r w:rsidRPr="008B4B2F">
        <w:rPr>
          <w:rFonts w:ascii="Times New Roman" w:hAnsi="Times New Roman" w:cs="Times New Roman"/>
          <w:color w:val="auto"/>
          <w:sz w:val="24"/>
          <w:szCs w:val="24"/>
        </w:rPr>
        <w:t xml:space="preserve"> dinamiche di crescita superiori </w:t>
      </w:r>
      <w:r w:rsidR="005E4127">
        <w:rPr>
          <w:rFonts w:ascii="Times New Roman" w:hAnsi="Times New Roman" w:cs="Times New Roman"/>
          <w:color w:val="auto"/>
          <w:sz w:val="24"/>
          <w:szCs w:val="24"/>
        </w:rPr>
        <w:t>rispetto alle</w:t>
      </w:r>
      <w:r w:rsidRPr="008B4B2F">
        <w:rPr>
          <w:rFonts w:ascii="Times New Roman" w:hAnsi="Times New Roman" w:cs="Times New Roman"/>
          <w:color w:val="auto"/>
          <w:sz w:val="24"/>
          <w:szCs w:val="24"/>
        </w:rPr>
        <w:t xml:space="preserve"> risorse effettivamente trasferite per le funzioni delegate.</w:t>
      </w:r>
    </w:p>
    <w:p w14:paraId="572BF29E" w14:textId="77777777" w:rsidR="005A78DB" w:rsidRPr="008B4B2F" w:rsidRDefault="005A78DB" w:rsidP="001775B4">
      <w:pPr>
        <w:spacing w:after="0" w:line="360" w:lineRule="auto"/>
        <w:ind w:firstLine="708"/>
        <w:jc w:val="both"/>
        <w:rPr>
          <w:rFonts w:ascii="Times New Roman" w:hAnsi="Times New Roman" w:cs="Times New Roman"/>
          <w:color w:val="auto"/>
          <w:sz w:val="24"/>
          <w:szCs w:val="24"/>
        </w:rPr>
      </w:pPr>
    </w:p>
    <w:p w14:paraId="5155123E" w14:textId="73DEE0EC" w:rsidR="008B4B2F" w:rsidRPr="008B4B2F" w:rsidRDefault="005A157E" w:rsidP="005A157E">
      <w:pPr>
        <w:shd w:val="clear" w:color="auto" w:fill="FFFFFF"/>
        <w:spacing w:after="0" w:line="240" w:lineRule="auto"/>
        <w:rPr>
          <w:rFonts w:eastAsia="Times New Roman"/>
          <w:sz w:val="24"/>
          <w:szCs w:val="24"/>
        </w:rPr>
      </w:pPr>
      <w:r>
        <w:rPr>
          <w:rFonts w:ascii="Times New Roman" w:eastAsia="Times New Roman" w:hAnsi="Times New Roman" w:cs="Times New Roman"/>
          <w:iCs/>
          <w:noProof/>
          <w:sz w:val="24"/>
          <w:szCs w:val="24"/>
        </w:rPr>
        <w:drawing>
          <wp:anchor distT="0" distB="0" distL="114300" distR="114300" simplePos="0" relativeHeight="251659264" behindDoc="0" locked="0" layoutInCell="1" allowOverlap="1" wp14:anchorId="4B07FF66" wp14:editId="6661908C">
            <wp:simplePos x="0" y="0"/>
            <wp:positionH relativeFrom="page">
              <wp:posOffset>4027990</wp:posOffset>
            </wp:positionH>
            <wp:positionV relativeFrom="paragraph">
              <wp:posOffset>9654</wp:posOffset>
            </wp:positionV>
            <wp:extent cx="3298769" cy="2288844"/>
            <wp:effectExtent l="0" t="0" r="0" b="0"/>
            <wp:wrapNone/>
            <wp:docPr id="2110033432" name="Immagine 3"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033432" name="Immagine 3" descr="Immagine che contiene testo, schermata, diagramma, linea&#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1479" cy="2290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Cs/>
          <w:noProof/>
          <w:sz w:val="24"/>
          <w:szCs w:val="24"/>
        </w:rPr>
        <w:drawing>
          <wp:anchor distT="0" distB="0" distL="114300" distR="114300" simplePos="0" relativeHeight="251658240" behindDoc="0" locked="0" layoutInCell="1" allowOverlap="1" wp14:anchorId="18272241" wp14:editId="27459C3C">
            <wp:simplePos x="0" y="0"/>
            <wp:positionH relativeFrom="margin">
              <wp:align>left</wp:align>
            </wp:positionH>
            <wp:positionV relativeFrom="paragraph">
              <wp:posOffset>2289360</wp:posOffset>
            </wp:positionV>
            <wp:extent cx="3298190" cy="2288396"/>
            <wp:effectExtent l="0" t="0" r="0" b="0"/>
            <wp:wrapNone/>
            <wp:docPr id="1123603870" name="Immagine 1123603870"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603870" name="Immagine 1123603870" descr="Immagine che contiene testo, schermata, diagramma, linea&#10;&#10;Descrizione generata automa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3080" cy="2291789"/>
                    </a:xfrm>
                    <a:prstGeom prst="rect">
                      <a:avLst/>
                    </a:prstGeom>
                    <a:noFill/>
                  </pic:spPr>
                </pic:pic>
              </a:graphicData>
            </a:graphic>
            <wp14:sizeRelH relativeFrom="page">
              <wp14:pctWidth>0</wp14:pctWidth>
            </wp14:sizeRelH>
            <wp14:sizeRelV relativeFrom="page">
              <wp14:pctHeight>0</wp14:pctHeight>
            </wp14:sizeRelV>
          </wp:anchor>
        </w:drawing>
      </w:r>
      <w:r w:rsidR="00806610">
        <w:rPr>
          <w:rFonts w:eastAsia="Times New Roman"/>
          <w:noProof/>
          <w:sz w:val="24"/>
          <w:szCs w:val="24"/>
        </w:rPr>
        <w:drawing>
          <wp:inline distT="0" distB="0" distL="0" distR="0" wp14:anchorId="6224CEA9" wp14:editId="5BCD6DEB">
            <wp:extent cx="3298565" cy="2291787"/>
            <wp:effectExtent l="0" t="0" r="0" b="0"/>
            <wp:docPr id="200132739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8558" cy="2326521"/>
                    </a:xfrm>
                    <a:prstGeom prst="rect">
                      <a:avLst/>
                    </a:prstGeom>
                    <a:noFill/>
                  </pic:spPr>
                </pic:pic>
              </a:graphicData>
            </a:graphic>
          </wp:inline>
        </w:drawing>
      </w:r>
    </w:p>
    <w:p w14:paraId="589124CC" w14:textId="4CD9F8E5" w:rsidR="00425C8A" w:rsidRDefault="00425C8A" w:rsidP="005A157E">
      <w:pPr>
        <w:widowControl/>
        <w:shd w:val="clear" w:color="auto" w:fill="FFFFFF"/>
        <w:spacing w:after="0" w:line="360" w:lineRule="auto"/>
        <w:jc w:val="center"/>
        <w:rPr>
          <w:rFonts w:ascii="Times New Roman" w:eastAsia="Times New Roman" w:hAnsi="Times New Roman" w:cs="Times New Roman"/>
          <w:iCs/>
          <w:sz w:val="24"/>
          <w:szCs w:val="24"/>
        </w:rPr>
      </w:pPr>
    </w:p>
    <w:p w14:paraId="37E86B8F" w14:textId="70A52190" w:rsidR="00806610" w:rsidRDefault="00806610" w:rsidP="005A157E">
      <w:pPr>
        <w:widowControl/>
        <w:shd w:val="clear" w:color="auto" w:fill="FFFFFF"/>
        <w:spacing w:after="0" w:line="360" w:lineRule="auto"/>
        <w:jc w:val="center"/>
        <w:rPr>
          <w:rFonts w:ascii="Times New Roman" w:eastAsia="Times New Roman" w:hAnsi="Times New Roman" w:cs="Times New Roman"/>
          <w:iCs/>
          <w:sz w:val="24"/>
          <w:szCs w:val="24"/>
        </w:rPr>
      </w:pPr>
    </w:p>
    <w:p w14:paraId="1792578D" w14:textId="48574B95" w:rsidR="00806610" w:rsidRDefault="00806610" w:rsidP="00CC092A">
      <w:pPr>
        <w:widowControl/>
        <w:shd w:val="clear" w:color="auto" w:fill="FFFFFF"/>
        <w:spacing w:after="0" w:line="360" w:lineRule="auto"/>
        <w:jc w:val="both"/>
        <w:rPr>
          <w:rFonts w:ascii="Times New Roman" w:eastAsia="Times New Roman" w:hAnsi="Times New Roman" w:cs="Times New Roman"/>
          <w:iCs/>
          <w:sz w:val="24"/>
          <w:szCs w:val="24"/>
        </w:rPr>
      </w:pPr>
    </w:p>
    <w:p w14:paraId="70237F79" w14:textId="52C4B5A7" w:rsidR="005A157E" w:rsidRDefault="005A157E" w:rsidP="00CC092A">
      <w:pPr>
        <w:widowControl/>
        <w:shd w:val="clear" w:color="auto" w:fill="FFFFFF"/>
        <w:spacing w:after="0" w:line="360" w:lineRule="auto"/>
        <w:jc w:val="both"/>
        <w:rPr>
          <w:rFonts w:ascii="Times New Roman" w:eastAsia="Times New Roman" w:hAnsi="Times New Roman" w:cs="Times New Roman"/>
          <w:iCs/>
          <w:sz w:val="24"/>
          <w:szCs w:val="24"/>
        </w:rPr>
      </w:pPr>
    </w:p>
    <w:p w14:paraId="129D8F46" w14:textId="180E65D5" w:rsidR="005A157E" w:rsidRDefault="005A157E" w:rsidP="00CC092A">
      <w:pPr>
        <w:widowControl/>
        <w:shd w:val="clear" w:color="auto" w:fill="FFFFFF"/>
        <w:spacing w:after="0" w:line="360" w:lineRule="auto"/>
        <w:jc w:val="both"/>
        <w:rPr>
          <w:rFonts w:ascii="Times New Roman" w:eastAsia="Times New Roman" w:hAnsi="Times New Roman" w:cs="Times New Roman"/>
          <w:iCs/>
          <w:sz w:val="24"/>
          <w:szCs w:val="24"/>
        </w:rPr>
      </w:pPr>
    </w:p>
    <w:p w14:paraId="11D91113" w14:textId="3C27CC44" w:rsidR="0032515A" w:rsidRDefault="0032515A" w:rsidP="00CC092A">
      <w:pPr>
        <w:widowControl/>
        <w:shd w:val="clear" w:color="auto" w:fill="FFFFFF"/>
        <w:spacing w:after="0" w:line="360" w:lineRule="auto"/>
        <w:jc w:val="both"/>
        <w:rPr>
          <w:rFonts w:ascii="Times New Roman" w:eastAsia="Times New Roman" w:hAnsi="Times New Roman" w:cs="Times New Roman"/>
          <w:iCs/>
          <w:sz w:val="24"/>
          <w:szCs w:val="24"/>
        </w:rPr>
      </w:pPr>
    </w:p>
    <w:p w14:paraId="2A16A201" w14:textId="75DBF940" w:rsidR="00C816D7" w:rsidRDefault="00C816D7" w:rsidP="00CC092A">
      <w:pPr>
        <w:widowControl/>
        <w:shd w:val="clear" w:color="auto" w:fill="FFFFFF"/>
        <w:spacing w:after="0" w:line="360" w:lineRule="auto"/>
        <w:jc w:val="both"/>
        <w:rPr>
          <w:rFonts w:ascii="Times New Roman" w:eastAsia="Times New Roman" w:hAnsi="Times New Roman" w:cs="Times New Roman"/>
          <w:iCs/>
          <w:sz w:val="24"/>
          <w:szCs w:val="24"/>
        </w:rPr>
      </w:pPr>
    </w:p>
    <w:p w14:paraId="79DCA933" w14:textId="54C5E0D5" w:rsidR="00C816D7" w:rsidRDefault="00EF4627" w:rsidP="00CC092A">
      <w:pPr>
        <w:widowControl/>
        <w:shd w:val="clear" w:color="auto" w:fill="FFFFFF"/>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Il disegno di legge propone un’attuazione in due step: </w:t>
      </w:r>
    </w:p>
    <w:p w14:paraId="30E19109" w14:textId="7A211468" w:rsidR="00CC092A" w:rsidRPr="00CC092A" w:rsidRDefault="00CC092A" w:rsidP="00CC092A">
      <w:pPr>
        <w:widowControl/>
        <w:shd w:val="clear" w:color="auto" w:fill="FFFFFF"/>
        <w:spacing w:after="0" w:line="360" w:lineRule="auto"/>
        <w:jc w:val="both"/>
        <w:rPr>
          <w:rFonts w:ascii="Times New Roman" w:eastAsia="Times New Roman" w:hAnsi="Times New Roman" w:cs="Times New Roman"/>
          <w:iCs/>
          <w:sz w:val="24"/>
          <w:szCs w:val="24"/>
        </w:rPr>
      </w:pPr>
    </w:p>
    <w:p w14:paraId="74D16F66" w14:textId="77777777" w:rsidR="00560CDA" w:rsidRDefault="00560CDA" w:rsidP="00CC092A">
      <w:pPr>
        <w:widowControl/>
        <w:shd w:val="clear" w:color="auto" w:fill="FFFFFF"/>
        <w:spacing w:after="0" w:line="360" w:lineRule="auto"/>
        <w:jc w:val="both"/>
        <w:rPr>
          <w:rFonts w:ascii="Times New Roman" w:eastAsia="Times New Roman" w:hAnsi="Times New Roman" w:cs="Times New Roman"/>
          <w:iCs/>
          <w:sz w:val="24"/>
          <w:szCs w:val="24"/>
        </w:rPr>
      </w:pPr>
    </w:p>
    <w:p w14:paraId="67C4A07D" w14:textId="77777777" w:rsidR="008E21BB" w:rsidRPr="008B4B2F" w:rsidRDefault="008E21BB" w:rsidP="008E21BB">
      <w:pPr>
        <w:spacing w:after="0" w:line="360" w:lineRule="auto"/>
        <w:jc w:val="both"/>
        <w:rPr>
          <w:rFonts w:ascii="Times New Roman" w:hAnsi="Times New Roman" w:cs="Times New Roman"/>
          <w:color w:val="auto"/>
          <w:sz w:val="24"/>
          <w:szCs w:val="24"/>
        </w:rPr>
      </w:pPr>
    </w:p>
    <w:p w14:paraId="14279905" w14:textId="3EE66BA5" w:rsidR="008E21BB" w:rsidRPr="008B4B2F" w:rsidRDefault="008E21BB" w:rsidP="008E21BB">
      <w:pPr>
        <w:spacing w:after="0" w:line="360" w:lineRule="auto"/>
        <w:jc w:val="both"/>
        <w:rPr>
          <w:rFonts w:ascii="Times New Roman" w:hAnsi="Times New Roman" w:cs="Times New Roman"/>
          <w:color w:val="auto"/>
          <w:sz w:val="24"/>
          <w:szCs w:val="24"/>
        </w:rPr>
      </w:pPr>
      <w:r w:rsidRPr="008B4B2F">
        <w:rPr>
          <w:rFonts w:ascii="Times New Roman" w:hAnsi="Times New Roman" w:cs="Times New Roman"/>
          <w:color w:val="auto"/>
          <w:sz w:val="24"/>
          <w:szCs w:val="24"/>
        </w:rPr>
        <w:t xml:space="preserve">Tab.3 Surplus fiscale </w:t>
      </w:r>
      <w:r w:rsidR="00731BFF">
        <w:rPr>
          <w:rFonts w:ascii="Times New Roman" w:hAnsi="Times New Roman" w:cs="Times New Roman"/>
          <w:color w:val="auto"/>
          <w:sz w:val="24"/>
          <w:szCs w:val="24"/>
        </w:rPr>
        <w:t xml:space="preserve">– </w:t>
      </w:r>
      <w:r w:rsidRPr="008B4B2F">
        <w:rPr>
          <w:rFonts w:ascii="Times New Roman" w:hAnsi="Times New Roman" w:cs="Times New Roman"/>
          <w:color w:val="auto"/>
          <w:sz w:val="24"/>
          <w:szCs w:val="24"/>
        </w:rPr>
        <w:t>Emilia</w:t>
      </w:r>
      <w:r w:rsidR="00731BFF">
        <w:rPr>
          <w:rFonts w:ascii="Times New Roman" w:hAnsi="Times New Roman" w:cs="Times New Roman"/>
          <w:color w:val="auto"/>
          <w:sz w:val="24"/>
          <w:szCs w:val="24"/>
        </w:rPr>
        <w:t>-</w:t>
      </w:r>
      <w:r w:rsidRPr="008B4B2F">
        <w:rPr>
          <w:rFonts w:ascii="Times New Roman" w:hAnsi="Times New Roman" w:cs="Times New Roman"/>
          <w:color w:val="auto"/>
          <w:sz w:val="24"/>
          <w:szCs w:val="24"/>
        </w:rPr>
        <w:t>Romagna, Veneto e Lombardia (milioni di euro, valori cumulati)</w:t>
      </w:r>
    </w:p>
    <w:tbl>
      <w:tblPr>
        <w:tblW w:w="9718" w:type="dxa"/>
        <w:tblCellMar>
          <w:left w:w="70" w:type="dxa"/>
          <w:right w:w="70" w:type="dxa"/>
        </w:tblCellMar>
        <w:tblLook w:val="04A0" w:firstRow="1" w:lastRow="0" w:firstColumn="1" w:lastColumn="0" w:noHBand="0" w:noVBand="1"/>
      </w:tblPr>
      <w:tblGrid>
        <w:gridCol w:w="6338"/>
        <w:gridCol w:w="3380"/>
      </w:tblGrid>
      <w:tr w:rsidR="008E21BB" w:rsidRPr="008B4B2F" w14:paraId="25FE336F" w14:textId="77777777" w:rsidTr="004A3873">
        <w:trPr>
          <w:trHeight w:val="300"/>
        </w:trPr>
        <w:tc>
          <w:tcPr>
            <w:tcW w:w="6338" w:type="dxa"/>
            <w:tcBorders>
              <w:top w:val="single" w:sz="4" w:space="0" w:color="auto"/>
              <w:left w:val="nil"/>
              <w:bottom w:val="single" w:sz="4" w:space="0" w:color="auto"/>
              <w:right w:val="nil"/>
            </w:tcBorders>
            <w:shd w:val="clear" w:color="auto" w:fill="auto"/>
            <w:noWrap/>
            <w:vAlign w:val="bottom"/>
            <w:hideMark/>
          </w:tcPr>
          <w:p w14:paraId="4E2603B9" w14:textId="77777777" w:rsidR="008E21BB" w:rsidRPr="008B4B2F" w:rsidRDefault="008E21BB" w:rsidP="004A3873">
            <w:pPr>
              <w:widowControl/>
              <w:spacing w:after="0" w:line="240" w:lineRule="auto"/>
              <w:rPr>
                <w:rFonts w:ascii="Times New Roman" w:eastAsia="Times New Roman" w:hAnsi="Times New Roman" w:cs="Times New Roman"/>
              </w:rPr>
            </w:pPr>
            <w:r w:rsidRPr="008B4B2F">
              <w:rPr>
                <w:rFonts w:ascii="Times New Roman" w:eastAsia="Times New Roman" w:hAnsi="Times New Roman" w:cs="Times New Roman"/>
              </w:rPr>
              <w:t> </w:t>
            </w:r>
          </w:p>
        </w:tc>
        <w:tc>
          <w:tcPr>
            <w:tcW w:w="3380" w:type="dxa"/>
            <w:tcBorders>
              <w:top w:val="single" w:sz="4" w:space="0" w:color="auto"/>
              <w:left w:val="nil"/>
              <w:bottom w:val="single" w:sz="4" w:space="0" w:color="auto"/>
              <w:right w:val="nil"/>
            </w:tcBorders>
            <w:shd w:val="clear" w:color="auto" w:fill="auto"/>
            <w:noWrap/>
            <w:vAlign w:val="center"/>
            <w:hideMark/>
          </w:tcPr>
          <w:p w14:paraId="23699ECF" w14:textId="77777777" w:rsidR="008E21BB" w:rsidRPr="008B4B2F" w:rsidRDefault="008E21BB"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2016-2019</w:t>
            </w:r>
          </w:p>
        </w:tc>
      </w:tr>
      <w:tr w:rsidR="008E21BB" w:rsidRPr="008B4B2F" w14:paraId="1244C526" w14:textId="77777777" w:rsidTr="004A3873">
        <w:trPr>
          <w:trHeight w:val="300"/>
        </w:trPr>
        <w:tc>
          <w:tcPr>
            <w:tcW w:w="6338" w:type="dxa"/>
            <w:tcBorders>
              <w:top w:val="nil"/>
              <w:left w:val="nil"/>
              <w:bottom w:val="nil"/>
              <w:right w:val="nil"/>
            </w:tcBorders>
            <w:shd w:val="clear" w:color="auto" w:fill="auto"/>
            <w:noWrap/>
            <w:vAlign w:val="bottom"/>
            <w:hideMark/>
          </w:tcPr>
          <w:p w14:paraId="2407E0B3" w14:textId="23ABB82D" w:rsidR="008E21BB" w:rsidRPr="008B4B2F" w:rsidRDefault="00731BFF" w:rsidP="004A3873">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Ipotesi </w:t>
            </w:r>
            <w:r w:rsidR="008E21BB" w:rsidRPr="008B4B2F">
              <w:rPr>
                <w:rFonts w:ascii="Times New Roman" w:eastAsia="Times New Roman" w:hAnsi="Times New Roman" w:cs="Times New Roman"/>
              </w:rPr>
              <w:t>compartecipazione IRPEF</w:t>
            </w:r>
          </w:p>
        </w:tc>
        <w:tc>
          <w:tcPr>
            <w:tcW w:w="3380" w:type="dxa"/>
            <w:tcBorders>
              <w:top w:val="nil"/>
              <w:left w:val="nil"/>
              <w:bottom w:val="nil"/>
              <w:right w:val="nil"/>
            </w:tcBorders>
            <w:shd w:val="clear" w:color="auto" w:fill="auto"/>
            <w:noWrap/>
            <w:vAlign w:val="bottom"/>
            <w:hideMark/>
          </w:tcPr>
          <w:p w14:paraId="5D43EF6B" w14:textId="77777777" w:rsidR="008E21BB" w:rsidRPr="008B4B2F" w:rsidRDefault="008E21BB"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5.670</w:t>
            </w:r>
          </w:p>
        </w:tc>
      </w:tr>
      <w:tr w:rsidR="008E21BB" w:rsidRPr="008B4B2F" w14:paraId="53E58200" w14:textId="77777777" w:rsidTr="004A3873">
        <w:trPr>
          <w:trHeight w:val="300"/>
        </w:trPr>
        <w:tc>
          <w:tcPr>
            <w:tcW w:w="6338" w:type="dxa"/>
            <w:tcBorders>
              <w:top w:val="nil"/>
              <w:left w:val="nil"/>
              <w:bottom w:val="single" w:sz="4" w:space="0" w:color="auto"/>
              <w:right w:val="nil"/>
            </w:tcBorders>
            <w:shd w:val="clear" w:color="auto" w:fill="auto"/>
            <w:noWrap/>
            <w:vAlign w:val="bottom"/>
            <w:hideMark/>
          </w:tcPr>
          <w:p w14:paraId="734BFE25" w14:textId="151F25A7" w:rsidR="008E21BB" w:rsidRPr="008B4B2F" w:rsidRDefault="00731BFF" w:rsidP="004A3873">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Ipotesi</w:t>
            </w:r>
            <w:r w:rsidR="008E21BB" w:rsidRPr="008B4B2F">
              <w:rPr>
                <w:rFonts w:ascii="Times New Roman" w:eastAsia="Times New Roman" w:hAnsi="Times New Roman" w:cs="Times New Roman"/>
              </w:rPr>
              <w:t xml:space="preserve"> compartecipazione IVA integrata da compartecipazione IRPEF</w:t>
            </w:r>
          </w:p>
        </w:tc>
        <w:tc>
          <w:tcPr>
            <w:tcW w:w="3380" w:type="dxa"/>
            <w:tcBorders>
              <w:top w:val="nil"/>
              <w:left w:val="nil"/>
              <w:bottom w:val="single" w:sz="4" w:space="0" w:color="auto"/>
              <w:right w:val="nil"/>
            </w:tcBorders>
            <w:shd w:val="clear" w:color="auto" w:fill="auto"/>
            <w:noWrap/>
            <w:vAlign w:val="bottom"/>
            <w:hideMark/>
          </w:tcPr>
          <w:p w14:paraId="4561CC40" w14:textId="77777777" w:rsidR="008E21BB" w:rsidRPr="008B4B2F" w:rsidRDefault="008E21BB" w:rsidP="004A3873">
            <w:pPr>
              <w:widowControl/>
              <w:spacing w:after="0" w:line="240" w:lineRule="auto"/>
              <w:jc w:val="center"/>
              <w:rPr>
                <w:rFonts w:ascii="Times New Roman" w:eastAsia="Times New Roman" w:hAnsi="Times New Roman" w:cs="Times New Roman"/>
              </w:rPr>
            </w:pPr>
            <w:r w:rsidRPr="008B4B2F">
              <w:rPr>
                <w:rFonts w:ascii="Times New Roman" w:eastAsia="Times New Roman" w:hAnsi="Times New Roman" w:cs="Times New Roman"/>
              </w:rPr>
              <w:t>9.486</w:t>
            </w:r>
          </w:p>
        </w:tc>
      </w:tr>
    </w:tbl>
    <w:p w14:paraId="26B9102B" w14:textId="77777777" w:rsidR="008E21BB" w:rsidRPr="008B4B2F" w:rsidRDefault="008E21BB" w:rsidP="008E21BB">
      <w:pPr>
        <w:spacing w:after="0" w:line="360" w:lineRule="auto"/>
        <w:jc w:val="both"/>
        <w:rPr>
          <w:rFonts w:ascii="Times New Roman" w:hAnsi="Times New Roman" w:cs="Times New Roman"/>
          <w:color w:val="auto"/>
          <w:sz w:val="24"/>
          <w:szCs w:val="24"/>
        </w:rPr>
      </w:pPr>
    </w:p>
    <w:p w14:paraId="0E75F497" w14:textId="77777777" w:rsidR="005739DE" w:rsidRDefault="005739DE" w:rsidP="005739DE">
      <w:pPr>
        <w:spacing w:after="0" w:line="360" w:lineRule="auto"/>
        <w:ind w:firstLine="720"/>
        <w:jc w:val="both"/>
        <w:rPr>
          <w:rFonts w:ascii="Times New Roman" w:hAnsi="Times New Roman" w:cs="Times New Roman"/>
          <w:color w:val="auto"/>
          <w:sz w:val="24"/>
          <w:szCs w:val="24"/>
        </w:rPr>
      </w:pPr>
      <w:r w:rsidRPr="008B4B2F">
        <w:rPr>
          <w:rFonts w:ascii="Times New Roman" w:hAnsi="Times New Roman" w:cs="Times New Roman"/>
          <w:color w:val="auto"/>
          <w:sz w:val="24"/>
          <w:szCs w:val="24"/>
        </w:rPr>
        <w:t>Se l</w:t>
      </w:r>
      <w:r>
        <w:rPr>
          <w:rFonts w:ascii="Times New Roman" w:hAnsi="Times New Roman" w:cs="Times New Roman"/>
          <w:color w:val="auto"/>
          <w:sz w:val="24"/>
          <w:szCs w:val="24"/>
        </w:rPr>
        <w:t>’</w:t>
      </w:r>
      <w:r w:rsidRPr="008B4B2F">
        <w:rPr>
          <w:rFonts w:ascii="Times New Roman" w:hAnsi="Times New Roman" w:cs="Times New Roman"/>
          <w:color w:val="auto"/>
          <w:sz w:val="24"/>
          <w:szCs w:val="24"/>
        </w:rPr>
        <w:t xml:space="preserve">autonomia fosse stata concessa nel 2017, si sarebbe generato un surplus a favore delle 3 regioni pari a circa 5,7 miliardi nell’ipotesi di compartecipazione IRPEF e di oltre 9 miliardi nel caso di compartecipazione Iva e IRPEF.  </w:t>
      </w:r>
    </w:p>
    <w:p w14:paraId="7BE43CDC" w14:textId="39432D76" w:rsidR="008E21BB" w:rsidRDefault="008E21BB" w:rsidP="005739DE">
      <w:pPr>
        <w:spacing w:after="0" w:line="360" w:lineRule="auto"/>
        <w:ind w:firstLine="720"/>
        <w:jc w:val="both"/>
        <w:rPr>
          <w:rFonts w:ascii="Times New Roman" w:hAnsi="Times New Roman" w:cs="Times New Roman"/>
          <w:color w:val="auto"/>
          <w:sz w:val="24"/>
          <w:szCs w:val="24"/>
        </w:rPr>
      </w:pPr>
      <w:r w:rsidRPr="008B4B2F">
        <w:rPr>
          <w:rFonts w:ascii="Times New Roman" w:hAnsi="Times New Roman" w:cs="Times New Roman"/>
          <w:color w:val="auto"/>
          <w:sz w:val="24"/>
          <w:szCs w:val="24"/>
        </w:rPr>
        <w:t>Va poi sottolineato che l</w:t>
      </w:r>
      <w:r w:rsidR="005739DE">
        <w:rPr>
          <w:rFonts w:ascii="Times New Roman" w:hAnsi="Times New Roman" w:cs="Times New Roman"/>
          <w:color w:val="auto"/>
          <w:sz w:val="24"/>
          <w:szCs w:val="24"/>
        </w:rPr>
        <w:t>’</w:t>
      </w:r>
      <w:r w:rsidRPr="008B4B2F">
        <w:rPr>
          <w:rFonts w:ascii="Times New Roman" w:hAnsi="Times New Roman" w:cs="Times New Roman"/>
          <w:color w:val="auto"/>
          <w:sz w:val="24"/>
          <w:szCs w:val="24"/>
        </w:rPr>
        <w:t xml:space="preserve">autonomia differenziata in tema di </w:t>
      </w:r>
      <w:r w:rsidR="00027259">
        <w:rPr>
          <w:rFonts w:ascii="Times New Roman" w:hAnsi="Times New Roman" w:cs="Times New Roman"/>
          <w:color w:val="auto"/>
          <w:sz w:val="24"/>
          <w:szCs w:val="24"/>
        </w:rPr>
        <w:t xml:space="preserve">tutela della </w:t>
      </w:r>
      <w:r w:rsidRPr="008B4B2F">
        <w:rPr>
          <w:rFonts w:ascii="Times New Roman" w:hAnsi="Times New Roman" w:cs="Times New Roman"/>
          <w:color w:val="auto"/>
          <w:sz w:val="24"/>
          <w:szCs w:val="24"/>
        </w:rPr>
        <w:t>sa</w:t>
      </w:r>
      <w:r w:rsidR="00027259">
        <w:rPr>
          <w:rFonts w:ascii="Times New Roman" w:hAnsi="Times New Roman" w:cs="Times New Roman"/>
          <w:color w:val="auto"/>
          <w:sz w:val="24"/>
          <w:szCs w:val="24"/>
        </w:rPr>
        <w:t>lute</w:t>
      </w:r>
      <w:r w:rsidRPr="008B4B2F">
        <w:rPr>
          <w:rFonts w:ascii="Times New Roman" w:hAnsi="Times New Roman" w:cs="Times New Roman"/>
          <w:color w:val="auto"/>
          <w:sz w:val="24"/>
          <w:szCs w:val="24"/>
        </w:rPr>
        <w:t xml:space="preserve"> farebbe venire meno, salvo la previsione di una espressa norma, il contributo delle </w:t>
      </w:r>
      <w:r w:rsidR="00D838B0">
        <w:rPr>
          <w:rFonts w:ascii="Times New Roman" w:hAnsi="Times New Roman" w:cs="Times New Roman"/>
          <w:color w:val="auto"/>
          <w:sz w:val="24"/>
          <w:szCs w:val="24"/>
        </w:rPr>
        <w:t>tre</w:t>
      </w:r>
      <w:r w:rsidRPr="008B4B2F">
        <w:rPr>
          <w:rFonts w:ascii="Times New Roman" w:hAnsi="Times New Roman" w:cs="Times New Roman"/>
          <w:color w:val="auto"/>
          <w:sz w:val="24"/>
          <w:szCs w:val="24"/>
        </w:rPr>
        <w:t xml:space="preserve"> </w:t>
      </w:r>
      <w:r w:rsidR="00D838B0">
        <w:rPr>
          <w:rFonts w:ascii="Times New Roman" w:hAnsi="Times New Roman" w:cs="Times New Roman"/>
          <w:color w:val="auto"/>
          <w:sz w:val="24"/>
          <w:szCs w:val="24"/>
        </w:rPr>
        <w:t>R</w:t>
      </w:r>
      <w:r w:rsidRPr="008B4B2F">
        <w:rPr>
          <w:rFonts w:ascii="Times New Roman" w:hAnsi="Times New Roman" w:cs="Times New Roman"/>
          <w:color w:val="auto"/>
          <w:sz w:val="24"/>
          <w:szCs w:val="24"/>
        </w:rPr>
        <w:t>egion</w:t>
      </w:r>
      <w:r w:rsidR="00D838B0">
        <w:rPr>
          <w:rFonts w:ascii="Times New Roman" w:hAnsi="Times New Roman" w:cs="Times New Roman"/>
          <w:color w:val="auto"/>
          <w:sz w:val="24"/>
          <w:szCs w:val="24"/>
        </w:rPr>
        <w:t>i</w:t>
      </w:r>
      <w:r w:rsidRPr="008B4B2F">
        <w:rPr>
          <w:rFonts w:ascii="Times New Roman" w:hAnsi="Times New Roman" w:cs="Times New Roman"/>
          <w:color w:val="auto"/>
          <w:sz w:val="24"/>
          <w:szCs w:val="24"/>
        </w:rPr>
        <w:t xml:space="preserve"> al fondo di perequazione regionale, impedendo così una fonte di finanziamento per le regioni meno ricche che gli impedirebbe, salvo ulteriori oneri a carico della finanza pubblica, di garantire la prestazione dei LEA. Ma il D</w:t>
      </w:r>
      <w:r w:rsidR="005023EE">
        <w:rPr>
          <w:rFonts w:ascii="Times New Roman" w:hAnsi="Times New Roman" w:cs="Times New Roman"/>
          <w:color w:val="auto"/>
          <w:sz w:val="24"/>
          <w:szCs w:val="24"/>
        </w:rPr>
        <w:t>dl</w:t>
      </w:r>
      <w:r w:rsidRPr="008B4B2F">
        <w:rPr>
          <w:rFonts w:ascii="Times New Roman" w:hAnsi="Times New Roman" w:cs="Times New Roman"/>
          <w:color w:val="auto"/>
          <w:sz w:val="24"/>
          <w:szCs w:val="24"/>
        </w:rPr>
        <w:t xml:space="preserve"> Calderoli </w:t>
      </w:r>
      <w:r w:rsidR="005023EE">
        <w:rPr>
          <w:rFonts w:ascii="Times New Roman" w:hAnsi="Times New Roman" w:cs="Times New Roman"/>
          <w:color w:val="auto"/>
          <w:sz w:val="24"/>
          <w:szCs w:val="24"/>
        </w:rPr>
        <w:t>prevede</w:t>
      </w:r>
      <w:r w:rsidRPr="008B4B2F">
        <w:rPr>
          <w:rFonts w:ascii="Times New Roman" w:hAnsi="Times New Roman" w:cs="Times New Roman"/>
          <w:color w:val="auto"/>
          <w:sz w:val="24"/>
          <w:szCs w:val="24"/>
        </w:rPr>
        <w:t xml:space="preserve"> che l</w:t>
      </w:r>
      <w:r w:rsidR="006A3641">
        <w:rPr>
          <w:rFonts w:ascii="Times New Roman" w:hAnsi="Times New Roman" w:cs="Times New Roman"/>
          <w:color w:val="auto"/>
          <w:sz w:val="24"/>
          <w:szCs w:val="24"/>
        </w:rPr>
        <w:t>’</w:t>
      </w:r>
      <w:r w:rsidRPr="008B4B2F">
        <w:rPr>
          <w:rFonts w:ascii="Times New Roman" w:hAnsi="Times New Roman" w:cs="Times New Roman"/>
          <w:color w:val="auto"/>
          <w:sz w:val="24"/>
          <w:szCs w:val="24"/>
        </w:rPr>
        <w:t xml:space="preserve">autonomia </w:t>
      </w:r>
      <w:r w:rsidR="00D838B0">
        <w:rPr>
          <w:rFonts w:ascii="Times New Roman" w:hAnsi="Times New Roman" w:cs="Times New Roman"/>
          <w:color w:val="auto"/>
          <w:sz w:val="24"/>
          <w:szCs w:val="24"/>
        </w:rPr>
        <w:t>non debba comportare</w:t>
      </w:r>
      <w:r w:rsidRPr="008B4B2F">
        <w:rPr>
          <w:rFonts w:ascii="Times New Roman" w:hAnsi="Times New Roman" w:cs="Times New Roman"/>
          <w:color w:val="auto"/>
          <w:sz w:val="24"/>
          <w:szCs w:val="24"/>
        </w:rPr>
        <w:t xml:space="preserve"> oneri </w:t>
      </w:r>
      <w:r w:rsidR="00D838B0">
        <w:rPr>
          <w:rFonts w:ascii="Times New Roman" w:hAnsi="Times New Roman" w:cs="Times New Roman"/>
          <w:color w:val="auto"/>
          <w:sz w:val="24"/>
          <w:szCs w:val="24"/>
        </w:rPr>
        <w:t xml:space="preserve">finanziari </w:t>
      </w:r>
      <w:r w:rsidRPr="008B4B2F">
        <w:rPr>
          <w:rFonts w:ascii="Times New Roman" w:hAnsi="Times New Roman" w:cs="Times New Roman"/>
          <w:color w:val="auto"/>
          <w:sz w:val="24"/>
          <w:szCs w:val="24"/>
        </w:rPr>
        <w:t>aggiuntivi</w:t>
      </w:r>
      <w:r w:rsidR="001775B4">
        <w:rPr>
          <w:rFonts w:ascii="Times New Roman" w:hAnsi="Times New Roman" w:cs="Times New Roman"/>
          <w:color w:val="auto"/>
          <w:sz w:val="24"/>
          <w:szCs w:val="24"/>
        </w:rPr>
        <w:t>.</w:t>
      </w:r>
    </w:p>
    <w:p w14:paraId="4666B54D" w14:textId="376AC459" w:rsidR="0011752E" w:rsidRDefault="0011752E" w:rsidP="005739DE">
      <w:pPr>
        <w:spacing w:after="0" w:line="36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 definitiva il rischio è che </w:t>
      </w:r>
      <w:r w:rsidRPr="0011752E">
        <w:rPr>
          <w:rFonts w:ascii="Times New Roman" w:hAnsi="Times New Roman" w:cs="Times New Roman"/>
          <w:color w:val="auto"/>
          <w:sz w:val="24"/>
          <w:szCs w:val="24"/>
        </w:rPr>
        <w:t xml:space="preserve">negli anni successivi alla stipula delle intese, il meccanismo di finanziamento basato su quote di compartecipazione dei tributi riscossi sul territorio, possa determinare un extra-finanziamento per le regioni </w:t>
      </w:r>
      <w:r w:rsidR="00771331">
        <w:rPr>
          <w:rFonts w:ascii="Times New Roman" w:hAnsi="Times New Roman" w:cs="Times New Roman"/>
          <w:color w:val="auto"/>
          <w:sz w:val="24"/>
          <w:szCs w:val="24"/>
        </w:rPr>
        <w:t xml:space="preserve">ad autonomia </w:t>
      </w:r>
      <w:r w:rsidR="00655781">
        <w:rPr>
          <w:rFonts w:ascii="Times New Roman" w:hAnsi="Times New Roman" w:cs="Times New Roman"/>
          <w:color w:val="auto"/>
          <w:sz w:val="24"/>
          <w:szCs w:val="24"/>
        </w:rPr>
        <w:t>differenziata</w:t>
      </w:r>
      <w:r w:rsidRPr="0011752E">
        <w:rPr>
          <w:rFonts w:ascii="Times New Roman" w:hAnsi="Times New Roman" w:cs="Times New Roman"/>
          <w:color w:val="auto"/>
          <w:sz w:val="24"/>
          <w:szCs w:val="24"/>
        </w:rPr>
        <w:t xml:space="preserve"> </w:t>
      </w:r>
      <w:r w:rsidR="00FC19A9">
        <w:rPr>
          <w:rFonts w:ascii="Times New Roman" w:hAnsi="Times New Roman" w:cs="Times New Roman"/>
          <w:color w:val="auto"/>
          <w:sz w:val="24"/>
          <w:szCs w:val="24"/>
        </w:rPr>
        <w:t>svincola</w:t>
      </w:r>
      <w:r w:rsidR="002439C8">
        <w:rPr>
          <w:rFonts w:ascii="Times New Roman" w:hAnsi="Times New Roman" w:cs="Times New Roman"/>
          <w:color w:val="auto"/>
          <w:sz w:val="24"/>
          <w:szCs w:val="24"/>
        </w:rPr>
        <w:t xml:space="preserve">to da meccanismi di </w:t>
      </w:r>
      <w:r w:rsidR="00FC19A9">
        <w:rPr>
          <w:rFonts w:ascii="Times New Roman" w:hAnsi="Times New Roman" w:cs="Times New Roman"/>
          <w:color w:val="auto"/>
          <w:sz w:val="24"/>
          <w:szCs w:val="24"/>
        </w:rPr>
        <w:t>responsabilizzazione della spesa</w:t>
      </w:r>
      <w:r w:rsidR="00B0206C">
        <w:rPr>
          <w:rFonts w:ascii="Times New Roman" w:hAnsi="Times New Roman" w:cs="Times New Roman"/>
          <w:color w:val="auto"/>
          <w:sz w:val="24"/>
          <w:szCs w:val="24"/>
        </w:rPr>
        <w:t xml:space="preserve"> per le funzioni delegate</w:t>
      </w:r>
      <w:r w:rsidR="002439C8">
        <w:rPr>
          <w:rFonts w:ascii="Times New Roman" w:hAnsi="Times New Roman" w:cs="Times New Roman"/>
          <w:color w:val="auto"/>
          <w:sz w:val="24"/>
          <w:szCs w:val="24"/>
        </w:rPr>
        <w:t xml:space="preserve">. </w:t>
      </w:r>
    </w:p>
    <w:p w14:paraId="4D5E8E80" w14:textId="77777777" w:rsidR="001775B4" w:rsidRDefault="001775B4" w:rsidP="001775B4">
      <w:pPr>
        <w:spacing w:after="0" w:line="360" w:lineRule="auto"/>
        <w:ind w:firstLine="720"/>
        <w:jc w:val="both"/>
        <w:rPr>
          <w:rFonts w:ascii="Times New Roman" w:hAnsi="Times New Roman" w:cs="Times New Roman"/>
          <w:color w:val="auto"/>
          <w:sz w:val="24"/>
          <w:szCs w:val="24"/>
        </w:rPr>
      </w:pPr>
    </w:p>
    <w:p w14:paraId="3598F172" w14:textId="77777777" w:rsidR="001775B4" w:rsidRPr="008B4B2F" w:rsidRDefault="001775B4" w:rsidP="001775B4">
      <w:pPr>
        <w:spacing w:after="0" w:line="360" w:lineRule="auto"/>
        <w:ind w:firstLine="720"/>
        <w:jc w:val="both"/>
        <w:rPr>
          <w:rFonts w:ascii="Times New Roman" w:hAnsi="Times New Roman" w:cs="Times New Roman"/>
          <w:color w:val="auto"/>
          <w:sz w:val="24"/>
          <w:szCs w:val="24"/>
        </w:rPr>
      </w:pPr>
    </w:p>
    <w:p w14:paraId="7DFFC924" w14:textId="77777777" w:rsidR="008E21BB" w:rsidRDefault="008E21BB" w:rsidP="008E21BB">
      <w:pPr>
        <w:shd w:val="clear" w:color="auto" w:fill="FFFFFF"/>
        <w:spacing w:after="0" w:line="240" w:lineRule="auto"/>
        <w:rPr>
          <w:rFonts w:eastAsia="Times New Roman"/>
          <w:sz w:val="24"/>
          <w:szCs w:val="24"/>
        </w:rPr>
      </w:pPr>
    </w:p>
    <w:p w14:paraId="134B5F00" w14:textId="77777777" w:rsidR="008E21BB" w:rsidRDefault="008E21BB" w:rsidP="00CC092A">
      <w:pPr>
        <w:widowControl/>
        <w:shd w:val="clear" w:color="auto" w:fill="FFFFFF"/>
        <w:spacing w:after="0" w:line="360" w:lineRule="auto"/>
        <w:jc w:val="both"/>
        <w:rPr>
          <w:rFonts w:ascii="Times New Roman" w:eastAsia="Times New Roman" w:hAnsi="Times New Roman" w:cs="Times New Roman"/>
          <w:iCs/>
          <w:sz w:val="24"/>
          <w:szCs w:val="24"/>
        </w:rPr>
      </w:pPr>
    </w:p>
    <w:sectPr w:rsidR="008E21BB" w:rsidSect="004773AE">
      <w:pgSz w:w="11906" w:h="16838"/>
      <w:pgMar w:top="1701" w:right="1418" w:bottom="1701" w:left="1418" w:header="56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AE4D" w14:textId="77777777" w:rsidR="00F3511A" w:rsidRDefault="00F3511A">
      <w:pPr>
        <w:spacing w:after="0" w:line="240" w:lineRule="auto"/>
      </w:pPr>
      <w:r>
        <w:separator/>
      </w:r>
    </w:p>
  </w:endnote>
  <w:endnote w:type="continuationSeparator" w:id="0">
    <w:p w14:paraId="379CAF26" w14:textId="77777777" w:rsidR="00F3511A" w:rsidRDefault="00F3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9467" w14:textId="77777777" w:rsidR="004D67D3" w:rsidRDefault="004D67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12224"/>
      <w:docPartObj>
        <w:docPartGallery w:val="Page Numbers (Bottom of Page)"/>
        <w:docPartUnique/>
      </w:docPartObj>
    </w:sdtPr>
    <w:sdtEndPr/>
    <w:sdtContent>
      <w:p w14:paraId="1083B0A8" w14:textId="7609A1BF" w:rsidR="00C97DF9" w:rsidRDefault="00C97DF9">
        <w:pPr>
          <w:pStyle w:val="Pidipagina"/>
          <w:jc w:val="right"/>
        </w:pPr>
        <w:r>
          <w:fldChar w:fldCharType="begin"/>
        </w:r>
        <w:r>
          <w:instrText>PAGE   \* MERGEFORMAT</w:instrText>
        </w:r>
        <w:r>
          <w:fldChar w:fldCharType="separate"/>
        </w:r>
        <w:r>
          <w:t>2</w:t>
        </w:r>
        <w:r>
          <w:fldChar w:fldCharType="end"/>
        </w:r>
      </w:p>
    </w:sdtContent>
  </w:sdt>
  <w:p w14:paraId="30F76655" w14:textId="77777777" w:rsidR="00D50007" w:rsidRDefault="00D50007" w:rsidP="00745772">
    <w:pPr>
      <w:tabs>
        <w:tab w:val="left" w:pos="4819"/>
      </w:tabs>
      <w:spacing w:after="142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4F87" w14:textId="77777777" w:rsidR="004D67D3" w:rsidRDefault="004D67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0B3E" w14:textId="77777777" w:rsidR="00F3511A" w:rsidRDefault="00F3511A">
      <w:pPr>
        <w:spacing w:after="0" w:line="240" w:lineRule="auto"/>
      </w:pPr>
      <w:r>
        <w:separator/>
      </w:r>
    </w:p>
  </w:footnote>
  <w:footnote w:type="continuationSeparator" w:id="0">
    <w:p w14:paraId="6E7FB9A2" w14:textId="77777777" w:rsidR="00F3511A" w:rsidRDefault="00F3511A">
      <w:pPr>
        <w:spacing w:after="0" w:line="240" w:lineRule="auto"/>
      </w:pPr>
      <w:r>
        <w:continuationSeparator/>
      </w:r>
    </w:p>
  </w:footnote>
  <w:footnote w:id="1">
    <w:p w14:paraId="0E266F65" w14:textId="77777777" w:rsidR="0051378F" w:rsidRDefault="0051378F" w:rsidP="0051378F">
      <w:pPr>
        <w:widowControl/>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Dipartimento per gli affari giuridici e legislativi della Presidenza del Consiglio, Appunto per il Presidente del Consiglio (Oggetto: Applicazione dell’articolo 116, terzo comma, della Costituzione – Schemi di intesa sulle ulteriori forme e condizioni particolari di autonomia nelle Regioni Lombardia, Veneto ed Emilia-Romagna), 19 giugno 2019; Audizione dell’Ufficio parlamentare di bilancio su attuazione e prospettive del federalismo fiscale e sulle procedure in atto per la definizione delle intese ai sensi dell’art. 116, 3° c., della Costituzione, Intervento del Consigliere dell’Ufficio parlamentare di bilancio Alberto Zanardi, Commissione parlamentare per l’attuazione del federalismo fiscale, 10 luglio 2019.</w:t>
      </w:r>
    </w:p>
  </w:footnote>
  <w:footnote w:id="2">
    <w:p w14:paraId="753A17F5" w14:textId="77777777" w:rsidR="00F0553E" w:rsidRDefault="00F0553E" w:rsidP="00F0553E">
      <w:pPr>
        <w:pStyle w:val="Testonotaapidipagina"/>
      </w:pPr>
      <w:r w:rsidRPr="00CB3043">
        <w:rPr>
          <w:rStyle w:val="Rimandonotaapidipagina"/>
          <w:rFonts w:ascii="Times New Roman" w:hAnsi="Times New Roman"/>
        </w:rPr>
        <w:footnoteRef/>
      </w:r>
      <w:r w:rsidRPr="008323D6">
        <w:rPr>
          <w:rFonts w:ascii="Times New Roman" w:hAnsi="Times New Roman"/>
        </w:rPr>
        <w:t xml:space="preserve"> </w:t>
      </w:r>
      <w:r w:rsidRPr="00312484">
        <w:rPr>
          <w:rFonts w:ascii="Times New Roman" w:hAnsi="Times New Roman"/>
        </w:rPr>
        <w:t>Audizione dell’Ufficio parlamentare di bilancio su attuazione e prospettive del federalismo fiscale e sulle procedure in</w:t>
      </w:r>
      <w:r w:rsidRPr="00C43F64">
        <w:rPr>
          <w:rFonts w:ascii="Times New Roman" w:hAnsi="Times New Roman"/>
        </w:rPr>
        <w:t xml:space="preserve"> atto per la definizione delle intese ai sensi dell’art. 116, 3° c., della Costituzione, Intervento del Consigliere dell’Ufficio parlamentare di bilancio Alberto Zanardi, Commissione parlamentare per l’attuazione del federalismo fiscale, 10 luglio 2019.</w:t>
      </w:r>
      <w:r>
        <w:t xml:space="preserve"> </w:t>
      </w:r>
    </w:p>
  </w:footnote>
  <w:footnote w:id="3">
    <w:p w14:paraId="1EF1486A" w14:textId="5B2ABC76" w:rsidR="008B4B2F" w:rsidRPr="004465B9" w:rsidRDefault="008B4B2F" w:rsidP="008B4B2F">
      <w:pPr>
        <w:pStyle w:val="Testonotaapidipagina"/>
        <w:jc w:val="both"/>
        <w:rPr>
          <w:rFonts w:ascii="Times New Roman" w:hAnsi="Times New Roman"/>
        </w:rPr>
      </w:pPr>
      <w:r w:rsidRPr="004465B9">
        <w:rPr>
          <w:rStyle w:val="Rimandonotaapidipagina"/>
          <w:rFonts w:ascii="Times New Roman" w:hAnsi="Times New Roman"/>
        </w:rPr>
        <w:footnoteRef/>
      </w:r>
      <w:r w:rsidRPr="004465B9">
        <w:rPr>
          <w:rFonts w:ascii="Times New Roman" w:hAnsi="Times New Roman"/>
        </w:rPr>
        <w:t xml:space="preserve"> Il gettito </w:t>
      </w:r>
      <w:r w:rsidR="003A182C">
        <w:rPr>
          <w:rFonts w:ascii="Times New Roman" w:hAnsi="Times New Roman"/>
        </w:rPr>
        <w:t>IRPEF</w:t>
      </w:r>
      <w:r w:rsidRPr="004465B9">
        <w:rPr>
          <w:rFonts w:ascii="Times New Roman" w:hAnsi="Times New Roman"/>
        </w:rPr>
        <w:t xml:space="preserve"> è di fonte Mef, Dipartimento delle Finanze, dati e statistiche. Il gettito IVA è stato assegnato alle regioni in proporzione ai consumi finali delle famiglie rilevati </w:t>
      </w:r>
      <w:r w:rsidR="003A182C">
        <w:rPr>
          <w:rFonts w:ascii="Times New Roman" w:hAnsi="Times New Roman"/>
        </w:rPr>
        <w:t xml:space="preserve">dai conti territoriali </w:t>
      </w:r>
      <w:r w:rsidRPr="004465B9">
        <w:rPr>
          <w:rFonts w:ascii="Times New Roman" w:hAnsi="Times New Roman"/>
        </w:rPr>
        <w:t>d</w:t>
      </w:r>
      <w:r w:rsidR="003A182C">
        <w:rPr>
          <w:rFonts w:ascii="Times New Roman" w:hAnsi="Times New Roman"/>
        </w:rPr>
        <w:t>e</w:t>
      </w:r>
      <w:r w:rsidRPr="004465B9">
        <w:rPr>
          <w:rFonts w:ascii="Times New Roman" w:hAnsi="Times New Roman"/>
        </w:rPr>
        <w:t>ll</w:t>
      </w:r>
      <w:r w:rsidR="003A182C">
        <w:rPr>
          <w:rFonts w:ascii="Times New Roman" w:hAnsi="Times New Roman"/>
        </w:rPr>
        <w:t>’</w:t>
      </w:r>
      <w:r w:rsidRPr="004465B9">
        <w:rPr>
          <w:rFonts w:ascii="Times New Roman" w:hAnsi="Times New Roman"/>
        </w:rPr>
        <w:t>ISTAT. Tale criterio è coerente con quanto stabilito in materia di territorializzazione del gettito IVA dal DPCM 30 agosto 2021 (</w:t>
      </w:r>
      <w:r w:rsidRPr="004465B9">
        <w:rPr>
          <w:rFonts w:ascii="Times New Roman" w:hAnsi="Times New Roman"/>
        </w:rPr>
        <w:t>Gazz. Uff. 22 gennaio 2022, n.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BC94" w14:textId="77777777" w:rsidR="004D67D3" w:rsidRDefault="004D67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1F78" w14:textId="77777777" w:rsidR="00155209" w:rsidRDefault="00155209">
    <w:pPr>
      <w:pStyle w:val="Intestazione"/>
    </w:pPr>
    <w:r>
      <w:rPr>
        <w:noProof/>
      </w:rPr>
      <w:drawing>
        <wp:inline distT="0" distB="0" distL="0" distR="0" wp14:anchorId="749219EB" wp14:editId="68A5AA11">
          <wp:extent cx="1441275" cy="605642"/>
          <wp:effectExtent l="0" t="0" r="6985" b="4445"/>
          <wp:docPr id="1" name="Immagine 0" descr="orizzontale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zzontale_blu.JPG"/>
                  <pic:cNvPicPr/>
                </pic:nvPicPr>
                <pic:blipFill>
                  <a:blip r:embed="rId1"/>
                  <a:stretch>
                    <a:fillRect/>
                  </a:stretch>
                </pic:blipFill>
                <pic:spPr>
                  <a:xfrm>
                    <a:off x="0" y="0"/>
                    <a:ext cx="1485145" cy="624077"/>
                  </a:xfrm>
                  <a:prstGeom prst="rect">
                    <a:avLst/>
                  </a:prstGeom>
                </pic:spPr>
              </pic:pic>
            </a:graphicData>
          </a:graphic>
        </wp:inline>
      </w:drawing>
    </w:r>
  </w:p>
  <w:p w14:paraId="6A0E3581" w14:textId="77777777" w:rsidR="00704B96" w:rsidRDefault="00704B9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8367" w14:textId="77777777" w:rsidR="004D67D3" w:rsidRDefault="004D67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A2DEF6"/>
    <w:lvl w:ilvl="0">
      <w:start w:val="1"/>
      <w:numFmt w:val="bullet"/>
      <w:pStyle w:val="Livellonota11"/>
      <w:lvlText w:val=""/>
      <w:lvlJc w:val="left"/>
      <w:pPr>
        <w:tabs>
          <w:tab w:val="num" w:pos="0"/>
        </w:tabs>
        <w:ind w:left="0" w:firstLine="0"/>
      </w:pPr>
      <w:rPr>
        <w:rFonts w:ascii="Symbol" w:hAnsi="Symbol" w:hint="default"/>
      </w:rPr>
    </w:lvl>
    <w:lvl w:ilvl="1">
      <w:start w:val="1"/>
      <w:numFmt w:val="bullet"/>
      <w:pStyle w:val="Livellonota21"/>
      <w:lvlText w:val=""/>
      <w:lvlJc w:val="left"/>
      <w:pPr>
        <w:tabs>
          <w:tab w:val="num" w:pos="720"/>
        </w:tabs>
        <w:ind w:left="1080" w:hanging="360"/>
      </w:pPr>
      <w:rPr>
        <w:rFonts w:ascii="Symbol" w:hAnsi="Symbol" w:hint="default"/>
      </w:rPr>
    </w:lvl>
    <w:lvl w:ilvl="2">
      <w:start w:val="1"/>
      <w:numFmt w:val="bullet"/>
      <w:pStyle w:val="Livellonota31"/>
      <w:lvlText w:val="o"/>
      <w:lvlJc w:val="left"/>
      <w:pPr>
        <w:tabs>
          <w:tab w:val="num" w:pos="1440"/>
        </w:tabs>
        <w:ind w:left="1800" w:hanging="360"/>
      </w:pPr>
      <w:rPr>
        <w:rFonts w:ascii="Courier New" w:hAnsi="Courier New" w:cs="Courier New" w:hint="default"/>
      </w:rPr>
    </w:lvl>
    <w:lvl w:ilvl="3">
      <w:start w:val="1"/>
      <w:numFmt w:val="bullet"/>
      <w:pStyle w:val="Livellonota41"/>
      <w:lvlText w:val=""/>
      <w:lvlJc w:val="left"/>
      <w:pPr>
        <w:tabs>
          <w:tab w:val="num" w:pos="2160"/>
        </w:tabs>
        <w:ind w:left="2520" w:hanging="360"/>
      </w:pPr>
      <w:rPr>
        <w:rFonts w:ascii="Wingdings" w:hAnsi="Wingdings" w:hint="default"/>
      </w:rPr>
    </w:lvl>
    <w:lvl w:ilvl="4">
      <w:start w:val="1"/>
      <w:numFmt w:val="bullet"/>
      <w:pStyle w:val="Livellonota51"/>
      <w:lvlText w:val=""/>
      <w:lvlJc w:val="left"/>
      <w:pPr>
        <w:tabs>
          <w:tab w:val="num" w:pos="2880"/>
        </w:tabs>
        <w:ind w:left="3240" w:hanging="360"/>
      </w:pPr>
      <w:rPr>
        <w:rFonts w:ascii="Wingdings" w:hAnsi="Wingdings" w:hint="default"/>
      </w:rPr>
    </w:lvl>
    <w:lvl w:ilvl="5">
      <w:start w:val="1"/>
      <w:numFmt w:val="bullet"/>
      <w:pStyle w:val="Livellonota61"/>
      <w:lvlText w:val=""/>
      <w:lvlJc w:val="left"/>
      <w:pPr>
        <w:tabs>
          <w:tab w:val="num" w:pos="3600"/>
        </w:tabs>
        <w:ind w:left="3960" w:hanging="360"/>
      </w:pPr>
      <w:rPr>
        <w:rFonts w:ascii="Symbol" w:hAnsi="Symbol" w:hint="default"/>
      </w:rPr>
    </w:lvl>
    <w:lvl w:ilvl="6">
      <w:start w:val="1"/>
      <w:numFmt w:val="bullet"/>
      <w:pStyle w:val="Livellonota71"/>
      <w:lvlText w:val="o"/>
      <w:lvlJc w:val="left"/>
      <w:pPr>
        <w:tabs>
          <w:tab w:val="num" w:pos="4320"/>
        </w:tabs>
        <w:ind w:left="4680" w:hanging="360"/>
      </w:pPr>
      <w:rPr>
        <w:rFonts w:ascii="Courier New" w:hAnsi="Courier New" w:cs="Courier New" w:hint="default"/>
      </w:rPr>
    </w:lvl>
    <w:lvl w:ilvl="7">
      <w:start w:val="1"/>
      <w:numFmt w:val="bullet"/>
      <w:pStyle w:val="Livellonota81"/>
      <w:lvlText w:val=""/>
      <w:lvlJc w:val="left"/>
      <w:pPr>
        <w:tabs>
          <w:tab w:val="num" w:pos="5040"/>
        </w:tabs>
        <w:ind w:left="5400" w:hanging="360"/>
      </w:pPr>
      <w:rPr>
        <w:rFonts w:ascii="Wingdings" w:hAnsi="Wingdings" w:hint="default"/>
      </w:rPr>
    </w:lvl>
    <w:lvl w:ilvl="8">
      <w:start w:val="1"/>
      <w:numFmt w:val="bullet"/>
      <w:pStyle w:val="Livellonota91"/>
      <w:lvlText w:val=""/>
      <w:lvlJc w:val="left"/>
      <w:pPr>
        <w:tabs>
          <w:tab w:val="num" w:pos="5760"/>
        </w:tabs>
        <w:ind w:left="6120" w:hanging="360"/>
      </w:pPr>
      <w:rPr>
        <w:rFonts w:ascii="Wingdings" w:hAnsi="Wingdings" w:hint="default"/>
      </w:rPr>
    </w:lvl>
  </w:abstractNum>
  <w:abstractNum w:abstractNumId="1" w15:restartNumberingAfterBreak="0">
    <w:nsid w:val="2BC26120"/>
    <w:multiLevelType w:val="hybridMultilevel"/>
    <w:tmpl w:val="A88A6A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3533B8"/>
    <w:multiLevelType w:val="hybridMultilevel"/>
    <w:tmpl w:val="32CE4F6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6374AA"/>
    <w:multiLevelType w:val="hybridMultilevel"/>
    <w:tmpl w:val="7B863FDE"/>
    <w:lvl w:ilvl="0" w:tplc="BADE86A8">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E655A2"/>
    <w:multiLevelType w:val="hybridMultilevel"/>
    <w:tmpl w:val="1DC8C2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347BA8"/>
    <w:multiLevelType w:val="hybridMultilevel"/>
    <w:tmpl w:val="ECAE6D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4778AD"/>
    <w:multiLevelType w:val="hybridMultilevel"/>
    <w:tmpl w:val="7F043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46420B"/>
    <w:multiLevelType w:val="multilevel"/>
    <w:tmpl w:val="E4C26382"/>
    <w:lvl w:ilvl="0">
      <w:start w:val="1"/>
      <w:numFmt w:val="bullet"/>
      <w:lvlText w:val="-"/>
      <w:lvlJc w:val="left"/>
      <w:pPr>
        <w:ind w:left="720" w:firstLine="1080"/>
      </w:pPr>
      <w:rPr>
        <w:rFonts w:ascii="Arial" w:eastAsia="Arial" w:hAnsi="Arial" w:cs="Arial"/>
        <w:color w:val="000000"/>
        <w:sz w:val="18"/>
        <w:szCs w:val="18"/>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520C5259"/>
    <w:multiLevelType w:val="multilevel"/>
    <w:tmpl w:val="CEAAE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F6A54"/>
    <w:multiLevelType w:val="hybridMultilevel"/>
    <w:tmpl w:val="E8AEE250"/>
    <w:lvl w:ilvl="0" w:tplc="7338AAFA">
      <w:start w:val="2"/>
      <w:numFmt w:val="bullet"/>
      <w:lvlText w:val="-"/>
      <w:lvlJc w:val="left"/>
      <w:pPr>
        <w:ind w:left="1080" w:hanging="360"/>
      </w:pPr>
      <w:rPr>
        <w:rFonts w:ascii="Times New Roman" w:eastAsia="Times New Roman" w:hAnsi="Times New Roman" w:cs="Times New Roman"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62423888"/>
    <w:multiLevelType w:val="hybridMultilevel"/>
    <w:tmpl w:val="1BCA6F18"/>
    <w:lvl w:ilvl="0" w:tplc="209ED3BA">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500195107">
    <w:abstractNumId w:val="7"/>
  </w:num>
  <w:num w:numId="2" w16cid:durableId="1238515408">
    <w:abstractNumId w:val="6"/>
  </w:num>
  <w:num w:numId="3" w16cid:durableId="1162619620">
    <w:abstractNumId w:val="4"/>
  </w:num>
  <w:num w:numId="4" w16cid:durableId="532571070">
    <w:abstractNumId w:val="1"/>
  </w:num>
  <w:num w:numId="5" w16cid:durableId="782840755">
    <w:abstractNumId w:val="5"/>
  </w:num>
  <w:num w:numId="6" w16cid:durableId="1337417741">
    <w:abstractNumId w:val="9"/>
  </w:num>
  <w:num w:numId="7" w16cid:durableId="1775201462">
    <w:abstractNumId w:val="0"/>
  </w:num>
  <w:num w:numId="8" w16cid:durableId="500659839">
    <w:abstractNumId w:val="0"/>
  </w:num>
  <w:num w:numId="9" w16cid:durableId="1747721449">
    <w:abstractNumId w:val="10"/>
  </w:num>
  <w:num w:numId="10" w16cid:durableId="1086070483">
    <w:abstractNumId w:val="8"/>
  </w:num>
  <w:num w:numId="11" w16cid:durableId="1010183788">
    <w:abstractNumId w:val="3"/>
  </w:num>
  <w:num w:numId="12" w16cid:durableId="27266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proofState w:spelling="clean" w:grammar="clean"/>
  <w:revisionView w:inkAnnotations="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8F"/>
    <w:rsid w:val="00001CF8"/>
    <w:rsid w:val="00011142"/>
    <w:rsid w:val="0001166C"/>
    <w:rsid w:val="00011D45"/>
    <w:rsid w:val="00026284"/>
    <w:rsid w:val="000265CB"/>
    <w:rsid w:val="00027259"/>
    <w:rsid w:val="0002792F"/>
    <w:rsid w:val="0003206E"/>
    <w:rsid w:val="00034181"/>
    <w:rsid w:val="000360D2"/>
    <w:rsid w:val="000422ED"/>
    <w:rsid w:val="00044653"/>
    <w:rsid w:val="00054B17"/>
    <w:rsid w:val="00056209"/>
    <w:rsid w:val="00062D23"/>
    <w:rsid w:val="00067B6A"/>
    <w:rsid w:val="000777D1"/>
    <w:rsid w:val="000810C0"/>
    <w:rsid w:val="00083320"/>
    <w:rsid w:val="000854C2"/>
    <w:rsid w:val="00093B82"/>
    <w:rsid w:val="00094F2D"/>
    <w:rsid w:val="000C45C6"/>
    <w:rsid w:val="000C6D5A"/>
    <w:rsid w:val="000D6CEB"/>
    <w:rsid w:val="000D70D0"/>
    <w:rsid w:val="000E320D"/>
    <w:rsid w:val="000E4D2E"/>
    <w:rsid w:val="000E78EE"/>
    <w:rsid w:val="000F1A54"/>
    <w:rsid w:val="000F47B8"/>
    <w:rsid w:val="00100A39"/>
    <w:rsid w:val="00110EC3"/>
    <w:rsid w:val="001160E1"/>
    <w:rsid w:val="0011651D"/>
    <w:rsid w:val="0011752E"/>
    <w:rsid w:val="0013497D"/>
    <w:rsid w:val="00135652"/>
    <w:rsid w:val="00143658"/>
    <w:rsid w:val="00143ACF"/>
    <w:rsid w:val="00155209"/>
    <w:rsid w:val="0016063B"/>
    <w:rsid w:val="00161B08"/>
    <w:rsid w:val="00164AD5"/>
    <w:rsid w:val="001657EF"/>
    <w:rsid w:val="00174DAD"/>
    <w:rsid w:val="0017533E"/>
    <w:rsid w:val="001775B4"/>
    <w:rsid w:val="00183E65"/>
    <w:rsid w:val="001851EE"/>
    <w:rsid w:val="00190B43"/>
    <w:rsid w:val="001A2DE4"/>
    <w:rsid w:val="001A5941"/>
    <w:rsid w:val="001C091A"/>
    <w:rsid w:val="001C1438"/>
    <w:rsid w:val="001C29FD"/>
    <w:rsid w:val="001C567F"/>
    <w:rsid w:val="001C59EA"/>
    <w:rsid w:val="001C7664"/>
    <w:rsid w:val="001D093E"/>
    <w:rsid w:val="001D1907"/>
    <w:rsid w:val="001D6B5F"/>
    <w:rsid w:val="001E5F61"/>
    <w:rsid w:val="001E6FFE"/>
    <w:rsid w:val="001F3688"/>
    <w:rsid w:val="0020347C"/>
    <w:rsid w:val="00213B9E"/>
    <w:rsid w:val="00226B81"/>
    <w:rsid w:val="00227A56"/>
    <w:rsid w:val="002439C8"/>
    <w:rsid w:val="002446B3"/>
    <w:rsid w:val="002467C0"/>
    <w:rsid w:val="00251AF7"/>
    <w:rsid w:val="002605BB"/>
    <w:rsid w:val="00261BCE"/>
    <w:rsid w:val="002628E8"/>
    <w:rsid w:val="00271A00"/>
    <w:rsid w:val="00283B99"/>
    <w:rsid w:val="00287BE6"/>
    <w:rsid w:val="0029617E"/>
    <w:rsid w:val="002B6C9D"/>
    <w:rsid w:val="002C23EA"/>
    <w:rsid w:val="002C2B29"/>
    <w:rsid w:val="002C343E"/>
    <w:rsid w:val="002C58A3"/>
    <w:rsid w:val="002D48EE"/>
    <w:rsid w:val="002D77B8"/>
    <w:rsid w:val="002E2E2E"/>
    <w:rsid w:val="002E4012"/>
    <w:rsid w:val="002E784F"/>
    <w:rsid w:val="002E7DBA"/>
    <w:rsid w:val="002F0ED9"/>
    <w:rsid w:val="002F75CF"/>
    <w:rsid w:val="00305C0D"/>
    <w:rsid w:val="0031047F"/>
    <w:rsid w:val="00312DBA"/>
    <w:rsid w:val="00324E92"/>
    <w:rsid w:val="0032515A"/>
    <w:rsid w:val="003303EC"/>
    <w:rsid w:val="00335663"/>
    <w:rsid w:val="00336AFA"/>
    <w:rsid w:val="00340031"/>
    <w:rsid w:val="00350DBE"/>
    <w:rsid w:val="003615AE"/>
    <w:rsid w:val="0036230F"/>
    <w:rsid w:val="00362846"/>
    <w:rsid w:val="00365203"/>
    <w:rsid w:val="00370F9E"/>
    <w:rsid w:val="003724D9"/>
    <w:rsid w:val="003767A9"/>
    <w:rsid w:val="00377DD0"/>
    <w:rsid w:val="00381755"/>
    <w:rsid w:val="0038282B"/>
    <w:rsid w:val="003A182C"/>
    <w:rsid w:val="003A363B"/>
    <w:rsid w:val="003A60B0"/>
    <w:rsid w:val="003A6541"/>
    <w:rsid w:val="003B14F5"/>
    <w:rsid w:val="003B381A"/>
    <w:rsid w:val="003C46D5"/>
    <w:rsid w:val="003C7E77"/>
    <w:rsid w:val="003D1F72"/>
    <w:rsid w:val="003E7154"/>
    <w:rsid w:val="003F2598"/>
    <w:rsid w:val="003F2999"/>
    <w:rsid w:val="00400F87"/>
    <w:rsid w:val="0040242D"/>
    <w:rsid w:val="00420978"/>
    <w:rsid w:val="00420DB1"/>
    <w:rsid w:val="00421EA6"/>
    <w:rsid w:val="00425C8A"/>
    <w:rsid w:val="00427112"/>
    <w:rsid w:val="00435BEE"/>
    <w:rsid w:val="0043650A"/>
    <w:rsid w:val="00436FBC"/>
    <w:rsid w:val="004465B9"/>
    <w:rsid w:val="00450D6F"/>
    <w:rsid w:val="004522E7"/>
    <w:rsid w:val="004571D4"/>
    <w:rsid w:val="00464082"/>
    <w:rsid w:val="00464BE5"/>
    <w:rsid w:val="00464C2D"/>
    <w:rsid w:val="004704B3"/>
    <w:rsid w:val="00472BA4"/>
    <w:rsid w:val="004773AE"/>
    <w:rsid w:val="0048405D"/>
    <w:rsid w:val="00487884"/>
    <w:rsid w:val="00490802"/>
    <w:rsid w:val="00492734"/>
    <w:rsid w:val="00496F0B"/>
    <w:rsid w:val="004970E2"/>
    <w:rsid w:val="004B5611"/>
    <w:rsid w:val="004D3F09"/>
    <w:rsid w:val="004D67D3"/>
    <w:rsid w:val="004D6A89"/>
    <w:rsid w:val="004E4769"/>
    <w:rsid w:val="004E5578"/>
    <w:rsid w:val="004F0E7A"/>
    <w:rsid w:val="004F1828"/>
    <w:rsid w:val="004F31A3"/>
    <w:rsid w:val="00500583"/>
    <w:rsid w:val="005023EE"/>
    <w:rsid w:val="005031CF"/>
    <w:rsid w:val="0051378F"/>
    <w:rsid w:val="0051591B"/>
    <w:rsid w:val="0052052B"/>
    <w:rsid w:val="0052456A"/>
    <w:rsid w:val="005344B2"/>
    <w:rsid w:val="005432FB"/>
    <w:rsid w:val="00543D2A"/>
    <w:rsid w:val="005461E3"/>
    <w:rsid w:val="00556D1D"/>
    <w:rsid w:val="00560CDA"/>
    <w:rsid w:val="00572954"/>
    <w:rsid w:val="005739DE"/>
    <w:rsid w:val="00580960"/>
    <w:rsid w:val="00585084"/>
    <w:rsid w:val="00593BAA"/>
    <w:rsid w:val="005A157E"/>
    <w:rsid w:val="005A187C"/>
    <w:rsid w:val="005A4517"/>
    <w:rsid w:val="005A623F"/>
    <w:rsid w:val="005A78DB"/>
    <w:rsid w:val="005A7B92"/>
    <w:rsid w:val="005B1773"/>
    <w:rsid w:val="005B41B9"/>
    <w:rsid w:val="005B4EF3"/>
    <w:rsid w:val="005C0823"/>
    <w:rsid w:val="005C573B"/>
    <w:rsid w:val="005C6418"/>
    <w:rsid w:val="005D7666"/>
    <w:rsid w:val="005E1E14"/>
    <w:rsid w:val="005E1F16"/>
    <w:rsid w:val="005E4127"/>
    <w:rsid w:val="005E4FFF"/>
    <w:rsid w:val="005F17BB"/>
    <w:rsid w:val="005F508E"/>
    <w:rsid w:val="00600BF2"/>
    <w:rsid w:val="0061175D"/>
    <w:rsid w:val="0061471C"/>
    <w:rsid w:val="00626101"/>
    <w:rsid w:val="00634011"/>
    <w:rsid w:val="0063672E"/>
    <w:rsid w:val="006447D2"/>
    <w:rsid w:val="00655781"/>
    <w:rsid w:val="006815D0"/>
    <w:rsid w:val="00693DA1"/>
    <w:rsid w:val="006A10D8"/>
    <w:rsid w:val="006A3641"/>
    <w:rsid w:val="006A6D49"/>
    <w:rsid w:val="006B4658"/>
    <w:rsid w:val="006B54C9"/>
    <w:rsid w:val="006D306F"/>
    <w:rsid w:val="006E08B6"/>
    <w:rsid w:val="006E1495"/>
    <w:rsid w:val="006E3FFD"/>
    <w:rsid w:val="007001E4"/>
    <w:rsid w:val="00703344"/>
    <w:rsid w:val="00704B96"/>
    <w:rsid w:val="00716415"/>
    <w:rsid w:val="00722907"/>
    <w:rsid w:val="00724A86"/>
    <w:rsid w:val="00725072"/>
    <w:rsid w:val="00726226"/>
    <w:rsid w:val="00731BFF"/>
    <w:rsid w:val="0073648B"/>
    <w:rsid w:val="007421A5"/>
    <w:rsid w:val="00742442"/>
    <w:rsid w:val="00745772"/>
    <w:rsid w:val="007501A9"/>
    <w:rsid w:val="00764039"/>
    <w:rsid w:val="007641C9"/>
    <w:rsid w:val="00771331"/>
    <w:rsid w:val="00774A44"/>
    <w:rsid w:val="00777B47"/>
    <w:rsid w:val="00781947"/>
    <w:rsid w:val="00782032"/>
    <w:rsid w:val="00782F3A"/>
    <w:rsid w:val="00786392"/>
    <w:rsid w:val="00796B67"/>
    <w:rsid w:val="007B3479"/>
    <w:rsid w:val="007B4FF6"/>
    <w:rsid w:val="007D23C3"/>
    <w:rsid w:val="007D29DC"/>
    <w:rsid w:val="007D3058"/>
    <w:rsid w:val="007E26D7"/>
    <w:rsid w:val="007F1EBB"/>
    <w:rsid w:val="007F7AD3"/>
    <w:rsid w:val="00801CA5"/>
    <w:rsid w:val="00806610"/>
    <w:rsid w:val="00807ED6"/>
    <w:rsid w:val="0082712B"/>
    <w:rsid w:val="00836472"/>
    <w:rsid w:val="008408EF"/>
    <w:rsid w:val="00847022"/>
    <w:rsid w:val="00850863"/>
    <w:rsid w:val="00852F1C"/>
    <w:rsid w:val="00855E94"/>
    <w:rsid w:val="008619D5"/>
    <w:rsid w:val="00873D0C"/>
    <w:rsid w:val="0087572D"/>
    <w:rsid w:val="00883FE4"/>
    <w:rsid w:val="00892211"/>
    <w:rsid w:val="008922B1"/>
    <w:rsid w:val="00893458"/>
    <w:rsid w:val="00895040"/>
    <w:rsid w:val="00897959"/>
    <w:rsid w:val="00897EC6"/>
    <w:rsid w:val="008A16BD"/>
    <w:rsid w:val="008A2C01"/>
    <w:rsid w:val="008A47E1"/>
    <w:rsid w:val="008A7437"/>
    <w:rsid w:val="008B4B2F"/>
    <w:rsid w:val="008C0E92"/>
    <w:rsid w:val="008C3488"/>
    <w:rsid w:val="008C6335"/>
    <w:rsid w:val="008D38C1"/>
    <w:rsid w:val="008D647C"/>
    <w:rsid w:val="008E21BB"/>
    <w:rsid w:val="008E307B"/>
    <w:rsid w:val="008E762F"/>
    <w:rsid w:val="00906C8F"/>
    <w:rsid w:val="009130D2"/>
    <w:rsid w:val="00916DCD"/>
    <w:rsid w:val="00916E25"/>
    <w:rsid w:val="00917A76"/>
    <w:rsid w:val="0092178E"/>
    <w:rsid w:val="0094342D"/>
    <w:rsid w:val="00952F30"/>
    <w:rsid w:val="0096678D"/>
    <w:rsid w:val="00966FDD"/>
    <w:rsid w:val="00967459"/>
    <w:rsid w:val="00967F0B"/>
    <w:rsid w:val="00973074"/>
    <w:rsid w:val="00973B92"/>
    <w:rsid w:val="009773EF"/>
    <w:rsid w:val="00993A1E"/>
    <w:rsid w:val="00993C29"/>
    <w:rsid w:val="009A418F"/>
    <w:rsid w:val="009A4652"/>
    <w:rsid w:val="009B4F75"/>
    <w:rsid w:val="009B5911"/>
    <w:rsid w:val="009C6DBD"/>
    <w:rsid w:val="009E0D23"/>
    <w:rsid w:val="009E115A"/>
    <w:rsid w:val="009E53EE"/>
    <w:rsid w:val="009F3959"/>
    <w:rsid w:val="009F4777"/>
    <w:rsid w:val="00A225EE"/>
    <w:rsid w:val="00A26D19"/>
    <w:rsid w:val="00A270F4"/>
    <w:rsid w:val="00A30697"/>
    <w:rsid w:val="00A34E8D"/>
    <w:rsid w:val="00A5568C"/>
    <w:rsid w:val="00A55C64"/>
    <w:rsid w:val="00A57DFC"/>
    <w:rsid w:val="00A6118E"/>
    <w:rsid w:val="00A63803"/>
    <w:rsid w:val="00A64971"/>
    <w:rsid w:val="00A6617D"/>
    <w:rsid w:val="00A70A63"/>
    <w:rsid w:val="00A845EB"/>
    <w:rsid w:val="00A873AA"/>
    <w:rsid w:val="00A91170"/>
    <w:rsid w:val="00A9548C"/>
    <w:rsid w:val="00A969C6"/>
    <w:rsid w:val="00A96B31"/>
    <w:rsid w:val="00AB11DA"/>
    <w:rsid w:val="00AC045D"/>
    <w:rsid w:val="00AC1BC5"/>
    <w:rsid w:val="00AC4237"/>
    <w:rsid w:val="00AD1A55"/>
    <w:rsid w:val="00AD2584"/>
    <w:rsid w:val="00AD3F96"/>
    <w:rsid w:val="00AE02DF"/>
    <w:rsid w:val="00AE3B52"/>
    <w:rsid w:val="00AE6AA2"/>
    <w:rsid w:val="00AF0331"/>
    <w:rsid w:val="00AF539F"/>
    <w:rsid w:val="00B0206C"/>
    <w:rsid w:val="00B03314"/>
    <w:rsid w:val="00B03BBC"/>
    <w:rsid w:val="00B040BB"/>
    <w:rsid w:val="00B05B87"/>
    <w:rsid w:val="00B151D3"/>
    <w:rsid w:val="00B22F6D"/>
    <w:rsid w:val="00B30AA2"/>
    <w:rsid w:val="00B311DC"/>
    <w:rsid w:val="00B336F8"/>
    <w:rsid w:val="00B40FCD"/>
    <w:rsid w:val="00B45264"/>
    <w:rsid w:val="00B53BE7"/>
    <w:rsid w:val="00B571A8"/>
    <w:rsid w:val="00B64266"/>
    <w:rsid w:val="00B65415"/>
    <w:rsid w:val="00B737E7"/>
    <w:rsid w:val="00B74927"/>
    <w:rsid w:val="00B96E52"/>
    <w:rsid w:val="00BA7E50"/>
    <w:rsid w:val="00BC4CA3"/>
    <w:rsid w:val="00BC5A6E"/>
    <w:rsid w:val="00BC6059"/>
    <w:rsid w:val="00BD7AB9"/>
    <w:rsid w:val="00BF00FB"/>
    <w:rsid w:val="00BF2204"/>
    <w:rsid w:val="00BF5EE3"/>
    <w:rsid w:val="00BF607B"/>
    <w:rsid w:val="00BF7279"/>
    <w:rsid w:val="00C04704"/>
    <w:rsid w:val="00C15C06"/>
    <w:rsid w:val="00C32A8F"/>
    <w:rsid w:val="00C32D3C"/>
    <w:rsid w:val="00C352FB"/>
    <w:rsid w:val="00C43F64"/>
    <w:rsid w:val="00C455F0"/>
    <w:rsid w:val="00C50E45"/>
    <w:rsid w:val="00C5129C"/>
    <w:rsid w:val="00C51DE1"/>
    <w:rsid w:val="00C5402B"/>
    <w:rsid w:val="00C56C05"/>
    <w:rsid w:val="00C60C2D"/>
    <w:rsid w:val="00C72F57"/>
    <w:rsid w:val="00C816D7"/>
    <w:rsid w:val="00C82D97"/>
    <w:rsid w:val="00C86C2B"/>
    <w:rsid w:val="00C965F7"/>
    <w:rsid w:val="00C97DF9"/>
    <w:rsid w:val="00CA5210"/>
    <w:rsid w:val="00CB3043"/>
    <w:rsid w:val="00CC092A"/>
    <w:rsid w:val="00CC0C93"/>
    <w:rsid w:val="00CD00BA"/>
    <w:rsid w:val="00CD575D"/>
    <w:rsid w:val="00CF1592"/>
    <w:rsid w:val="00CF400F"/>
    <w:rsid w:val="00CF78BC"/>
    <w:rsid w:val="00CF7FFB"/>
    <w:rsid w:val="00D002BD"/>
    <w:rsid w:val="00D13930"/>
    <w:rsid w:val="00D241E7"/>
    <w:rsid w:val="00D27AF0"/>
    <w:rsid w:val="00D37073"/>
    <w:rsid w:val="00D50007"/>
    <w:rsid w:val="00D56EB3"/>
    <w:rsid w:val="00D63C99"/>
    <w:rsid w:val="00D655EF"/>
    <w:rsid w:val="00D734C3"/>
    <w:rsid w:val="00D838B0"/>
    <w:rsid w:val="00D9102F"/>
    <w:rsid w:val="00D93FB8"/>
    <w:rsid w:val="00DA02B6"/>
    <w:rsid w:val="00DA35FF"/>
    <w:rsid w:val="00DB2FF5"/>
    <w:rsid w:val="00DB6212"/>
    <w:rsid w:val="00DD0600"/>
    <w:rsid w:val="00DD30E7"/>
    <w:rsid w:val="00DD4E61"/>
    <w:rsid w:val="00DE2834"/>
    <w:rsid w:val="00DE316E"/>
    <w:rsid w:val="00DE6E15"/>
    <w:rsid w:val="00DF66C9"/>
    <w:rsid w:val="00DF7017"/>
    <w:rsid w:val="00DF7E3A"/>
    <w:rsid w:val="00E0233C"/>
    <w:rsid w:val="00E0394E"/>
    <w:rsid w:val="00E05E96"/>
    <w:rsid w:val="00E07C48"/>
    <w:rsid w:val="00E1646D"/>
    <w:rsid w:val="00E22363"/>
    <w:rsid w:val="00E23BB0"/>
    <w:rsid w:val="00E406B0"/>
    <w:rsid w:val="00E42D60"/>
    <w:rsid w:val="00E45BC6"/>
    <w:rsid w:val="00E46168"/>
    <w:rsid w:val="00E47F14"/>
    <w:rsid w:val="00E66D22"/>
    <w:rsid w:val="00E74F0E"/>
    <w:rsid w:val="00E761CC"/>
    <w:rsid w:val="00E77857"/>
    <w:rsid w:val="00E809F5"/>
    <w:rsid w:val="00E86B14"/>
    <w:rsid w:val="00E96086"/>
    <w:rsid w:val="00E961FE"/>
    <w:rsid w:val="00E96425"/>
    <w:rsid w:val="00E97050"/>
    <w:rsid w:val="00EA25CC"/>
    <w:rsid w:val="00EB7F10"/>
    <w:rsid w:val="00EC2703"/>
    <w:rsid w:val="00ED5837"/>
    <w:rsid w:val="00ED69EA"/>
    <w:rsid w:val="00EE6B45"/>
    <w:rsid w:val="00EF3FD5"/>
    <w:rsid w:val="00EF4627"/>
    <w:rsid w:val="00F00A58"/>
    <w:rsid w:val="00F04CCC"/>
    <w:rsid w:val="00F0553E"/>
    <w:rsid w:val="00F0689F"/>
    <w:rsid w:val="00F07D90"/>
    <w:rsid w:val="00F10493"/>
    <w:rsid w:val="00F10AA1"/>
    <w:rsid w:val="00F13883"/>
    <w:rsid w:val="00F22DF0"/>
    <w:rsid w:val="00F23A1D"/>
    <w:rsid w:val="00F3511A"/>
    <w:rsid w:val="00F44DEC"/>
    <w:rsid w:val="00F519C2"/>
    <w:rsid w:val="00F7252A"/>
    <w:rsid w:val="00F84B25"/>
    <w:rsid w:val="00F973BC"/>
    <w:rsid w:val="00FB0629"/>
    <w:rsid w:val="00FC19A9"/>
    <w:rsid w:val="00FC4EDD"/>
    <w:rsid w:val="00FC50A2"/>
    <w:rsid w:val="00FD14C2"/>
    <w:rsid w:val="00FD2196"/>
    <w:rsid w:val="00FD2769"/>
    <w:rsid w:val="00FD4FC7"/>
    <w:rsid w:val="00FE0DC5"/>
    <w:rsid w:val="00FE1697"/>
    <w:rsid w:val="00FE3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F9C69"/>
  <w15:docId w15:val="{C3A966AB-449E-48D1-9729-B42F3B25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it-IT" w:eastAsia="it-IT"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55F0"/>
  </w:style>
  <w:style w:type="paragraph" w:styleId="Titolo1">
    <w:name w:val="heading 1"/>
    <w:basedOn w:val="Normale"/>
    <w:next w:val="Normale"/>
    <w:uiPriority w:val="9"/>
    <w:qFormat/>
    <w:rsid w:val="00C455F0"/>
    <w:pPr>
      <w:keepNext/>
      <w:keepLines/>
      <w:spacing w:before="480" w:after="120"/>
      <w:contextualSpacing/>
      <w:outlineLvl w:val="0"/>
    </w:pPr>
    <w:rPr>
      <w:b/>
      <w:sz w:val="48"/>
      <w:szCs w:val="48"/>
    </w:rPr>
  </w:style>
  <w:style w:type="paragraph" w:styleId="Titolo2">
    <w:name w:val="heading 2"/>
    <w:basedOn w:val="Normale"/>
    <w:next w:val="Normale"/>
    <w:uiPriority w:val="9"/>
    <w:semiHidden/>
    <w:unhideWhenUsed/>
    <w:qFormat/>
    <w:rsid w:val="00C455F0"/>
    <w:pPr>
      <w:keepNext/>
      <w:keepLines/>
      <w:spacing w:before="360" w:after="80"/>
      <w:contextualSpacing/>
      <w:outlineLvl w:val="1"/>
    </w:pPr>
    <w:rPr>
      <w:b/>
      <w:sz w:val="36"/>
      <w:szCs w:val="36"/>
    </w:rPr>
  </w:style>
  <w:style w:type="paragraph" w:styleId="Titolo3">
    <w:name w:val="heading 3"/>
    <w:basedOn w:val="Normale"/>
    <w:next w:val="Normale"/>
    <w:uiPriority w:val="9"/>
    <w:semiHidden/>
    <w:unhideWhenUsed/>
    <w:qFormat/>
    <w:rsid w:val="00C455F0"/>
    <w:pPr>
      <w:keepNext/>
      <w:keepLines/>
      <w:spacing w:before="280" w:after="80"/>
      <w:contextualSpacing/>
      <w:outlineLvl w:val="2"/>
    </w:pPr>
    <w:rPr>
      <w:b/>
      <w:sz w:val="28"/>
      <w:szCs w:val="28"/>
    </w:rPr>
  </w:style>
  <w:style w:type="paragraph" w:styleId="Titolo4">
    <w:name w:val="heading 4"/>
    <w:basedOn w:val="Normale"/>
    <w:next w:val="Normale"/>
    <w:uiPriority w:val="9"/>
    <w:semiHidden/>
    <w:unhideWhenUsed/>
    <w:qFormat/>
    <w:rsid w:val="00C455F0"/>
    <w:pPr>
      <w:keepNext/>
      <w:keepLines/>
      <w:spacing w:before="240" w:after="40"/>
      <w:contextualSpacing/>
      <w:outlineLvl w:val="3"/>
    </w:pPr>
    <w:rPr>
      <w:b/>
      <w:sz w:val="24"/>
      <w:szCs w:val="24"/>
    </w:rPr>
  </w:style>
  <w:style w:type="paragraph" w:styleId="Titolo5">
    <w:name w:val="heading 5"/>
    <w:basedOn w:val="Normale"/>
    <w:next w:val="Normale"/>
    <w:uiPriority w:val="9"/>
    <w:semiHidden/>
    <w:unhideWhenUsed/>
    <w:qFormat/>
    <w:rsid w:val="00C455F0"/>
    <w:pPr>
      <w:keepNext/>
      <w:keepLines/>
      <w:spacing w:before="220" w:after="40"/>
      <w:contextualSpacing/>
      <w:outlineLvl w:val="4"/>
    </w:pPr>
    <w:rPr>
      <w:b/>
    </w:rPr>
  </w:style>
  <w:style w:type="paragraph" w:styleId="Titolo6">
    <w:name w:val="heading 6"/>
    <w:basedOn w:val="Normale"/>
    <w:next w:val="Normale"/>
    <w:uiPriority w:val="9"/>
    <w:semiHidden/>
    <w:unhideWhenUsed/>
    <w:qFormat/>
    <w:rsid w:val="00C455F0"/>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C455F0"/>
    <w:tblPr>
      <w:tblCellMar>
        <w:top w:w="0" w:type="dxa"/>
        <w:left w:w="0" w:type="dxa"/>
        <w:bottom w:w="0" w:type="dxa"/>
        <w:right w:w="0" w:type="dxa"/>
      </w:tblCellMar>
    </w:tblPr>
  </w:style>
  <w:style w:type="paragraph" w:styleId="Titolo">
    <w:name w:val="Title"/>
    <w:basedOn w:val="Normale"/>
    <w:next w:val="Normale"/>
    <w:uiPriority w:val="10"/>
    <w:qFormat/>
    <w:rsid w:val="00C455F0"/>
    <w:pPr>
      <w:keepNext/>
      <w:keepLines/>
      <w:spacing w:before="480" w:after="120"/>
      <w:contextualSpacing/>
    </w:pPr>
    <w:rPr>
      <w:b/>
      <w:sz w:val="72"/>
      <w:szCs w:val="72"/>
    </w:rPr>
  </w:style>
  <w:style w:type="table" w:customStyle="1" w:styleId="TableNormal0">
    <w:name w:val="Table Normal"/>
    <w:rsid w:val="00C455F0"/>
    <w:tblPr>
      <w:tblCellMar>
        <w:top w:w="0" w:type="dxa"/>
        <w:left w:w="0" w:type="dxa"/>
        <w:bottom w:w="0" w:type="dxa"/>
        <w:right w:w="0" w:type="dxa"/>
      </w:tblCellMar>
    </w:tblPr>
  </w:style>
  <w:style w:type="paragraph" w:styleId="Paragrafoelenco">
    <w:name w:val="List Paragraph"/>
    <w:basedOn w:val="Normale"/>
    <w:uiPriority w:val="34"/>
    <w:qFormat/>
    <w:rsid w:val="006A69F1"/>
    <w:pPr>
      <w:ind w:left="720"/>
      <w:contextualSpacing/>
    </w:pPr>
  </w:style>
  <w:style w:type="character" w:styleId="Enfasicorsivo">
    <w:name w:val="Emphasis"/>
    <w:basedOn w:val="Carpredefinitoparagrafo"/>
    <w:uiPriority w:val="20"/>
    <w:qFormat/>
    <w:rsid w:val="00587CAB"/>
    <w:rPr>
      <w:i/>
      <w:iCs/>
    </w:rPr>
  </w:style>
  <w:style w:type="character" w:styleId="Collegamentoipertestuale">
    <w:name w:val="Hyperlink"/>
    <w:basedOn w:val="Carpredefinitoparagrafo"/>
    <w:uiPriority w:val="99"/>
    <w:unhideWhenUsed/>
    <w:rsid w:val="00857F25"/>
    <w:rPr>
      <w:color w:val="0000FF" w:themeColor="hyperlink"/>
      <w:u w:val="single"/>
    </w:rPr>
  </w:style>
  <w:style w:type="paragraph" w:customStyle="1" w:styleId="Default">
    <w:name w:val="Default"/>
    <w:rsid w:val="00F91086"/>
    <w:pPr>
      <w:autoSpaceDE w:val="0"/>
      <w:autoSpaceDN w:val="0"/>
      <w:adjustRightInd w:val="0"/>
      <w:spacing w:after="0" w:line="240" w:lineRule="auto"/>
    </w:pPr>
    <w:rPr>
      <w:sz w:val="24"/>
      <w:szCs w:val="24"/>
    </w:rPr>
  </w:style>
  <w:style w:type="paragraph" w:styleId="Intestazione">
    <w:name w:val="header"/>
    <w:basedOn w:val="Normale"/>
    <w:link w:val="IntestazioneCarattere"/>
    <w:uiPriority w:val="99"/>
    <w:unhideWhenUsed/>
    <w:rsid w:val="00640F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0F35"/>
  </w:style>
  <w:style w:type="paragraph" w:styleId="Pidipagina">
    <w:name w:val="footer"/>
    <w:basedOn w:val="Normale"/>
    <w:link w:val="PidipaginaCarattere"/>
    <w:uiPriority w:val="99"/>
    <w:unhideWhenUsed/>
    <w:rsid w:val="00640F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F35"/>
  </w:style>
  <w:style w:type="paragraph" w:styleId="Sottotitolo">
    <w:name w:val="Subtitle"/>
    <w:basedOn w:val="Normale"/>
    <w:next w:val="Normale"/>
    <w:uiPriority w:val="11"/>
    <w:qFormat/>
    <w:rsid w:val="00C455F0"/>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068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8E1"/>
    <w:rPr>
      <w:rFonts w:ascii="Tahoma" w:hAnsi="Tahoma" w:cs="Tahoma"/>
      <w:sz w:val="16"/>
      <w:szCs w:val="16"/>
    </w:rPr>
  </w:style>
  <w:style w:type="paragraph" w:styleId="Testonotaapidipagina">
    <w:name w:val="footnote text"/>
    <w:basedOn w:val="Normale"/>
    <w:link w:val="TestonotaapidipaginaCarattere"/>
    <w:uiPriority w:val="99"/>
    <w:rsid w:val="00AB24D1"/>
    <w:pPr>
      <w:widowControl/>
      <w:spacing w:after="160" w:line="259" w:lineRule="auto"/>
    </w:pPr>
    <w:rPr>
      <w:rFonts w:eastAsia="Times New Roman" w:cs="Times New Roman"/>
      <w:color w:val="auto"/>
      <w:sz w:val="20"/>
      <w:szCs w:val="20"/>
      <w:lang w:eastAsia="en-US"/>
    </w:rPr>
  </w:style>
  <w:style w:type="character" w:customStyle="1" w:styleId="TestonotaapidipaginaCarattere">
    <w:name w:val="Testo nota a piè di pagina Carattere"/>
    <w:basedOn w:val="Carpredefinitoparagrafo"/>
    <w:link w:val="Testonotaapidipagina"/>
    <w:uiPriority w:val="99"/>
    <w:rsid w:val="00AB24D1"/>
    <w:rPr>
      <w:rFonts w:eastAsia="Times New Roman" w:cs="Times New Roman"/>
      <w:color w:val="auto"/>
      <w:sz w:val="20"/>
      <w:szCs w:val="20"/>
      <w:lang w:eastAsia="en-US"/>
    </w:rPr>
  </w:style>
  <w:style w:type="character" w:styleId="Rimandonotaapidipagina">
    <w:name w:val="footnote reference"/>
    <w:aliases w:val="Footnote Reference Superscript,(Footnote Reference),SUPERS,EN Footnote Reference,Footnote symbol,Footnote,Footnote number,fr,o,Footnotemark,FR,Footnotemark1,Footnotemark2,FR1,Footnotemark3,FR2,Footnotemark4,FR3,Footnotemark5"/>
    <w:uiPriority w:val="99"/>
    <w:rsid w:val="00AB24D1"/>
    <w:rPr>
      <w:vertAlign w:val="superscript"/>
    </w:rPr>
  </w:style>
  <w:style w:type="paragraph" w:styleId="NormaleWeb">
    <w:name w:val="Normal (Web)"/>
    <w:basedOn w:val="Normale"/>
    <w:uiPriority w:val="99"/>
    <w:unhideWhenUsed/>
    <w:rsid w:val="00796716"/>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ust-dettaglio-tipo-atto">
    <w:name w:val="cust-dettaglio-tipo-atto"/>
    <w:basedOn w:val="Normale"/>
    <w:rsid w:val="00BA1A8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ust-dettaglio-tipo-atto-num-data">
    <w:name w:val="cust-dettaglio-tipo-atto-num-data"/>
    <w:basedOn w:val="Carpredefinitoparagrafo"/>
    <w:rsid w:val="00BA1A8E"/>
  </w:style>
  <w:style w:type="paragraph" w:customStyle="1" w:styleId="cust-dettaglio-titolo-atto">
    <w:name w:val="cust-dettaglio-titolo-atto"/>
    <w:basedOn w:val="Normale"/>
    <w:rsid w:val="00BA1A8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0A763D"/>
    <w:rPr>
      <w:b/>
      <w:bCs/>
    </w:rPr>
  </w:style>
  <w:style w:type="paragraph" w:styleId="Corpodeltesto3">
    <w:name w:val="Body Text 3"/>
    <w:basedOn w:val="Normale"/>
    <w:link w:val="Corpodeltesto3Carattere"/>
    <w:uiPriority w:val="99"/>
    <w:unhideWhenUsed/>
    <w:rsid w:val="001A5941"/>
    <w:pPr>
      <w:widowControl/>
      <w:spacing w:after="120" w:line="259" w:lineRule="auto"/>
    </w:pPr>
    <w:rPr>
      <w:rFonts w:asciiTheme="minorHAnsi" w:eastAsiaTheme="minorHAnsi" w:hAnsiTheme="minorHAnsi" w:cstheme="minorBidi"/>
      <w:color w:val="auto"/>
      <w:sz w:val="16"/>
      <w:szCs w:val="16"/>
      <w:lang w:eastAsia="en-US"/>
    </w:rPr>
  </w:style>
  <w:style w:type="character" w:customStyle="1" w:styleId="Corpodeltesto3Carattere">
    <w:name w:val="Corpo del testo 3 Carattere"/>
    <w:basedOn w:val="Carpredefinitoparagrafo"/>
    <w:link w:val="Corpodeltesto3"/>
    <w:uiPriority w:val="99"/>
    <w:rsid w:val="001A5941"/>
    <w:rPr>
      <w:rFonts w:asciiTheme="minorHAnsi" w:eastAsiaTheme="minorHAnsi" w:hAnsiTheme="minorHAnsi" w:cstheme="minorBidi"/>
      <w:color w:val="auto"/>
      <w:sz w:val="16"/>
      <w:szCs w:val="16"/>
      <w:lang w:eastAsia="en-US"/>
    </w:rPr>
  </w:style>
  <w:style w:type="table" w:styleId="Grigliatabella">
    <w:name w:val="Table Grid"/>
    <w:basedOn w:val="Tabellanormale"/>
    <w:uiPriority w:val="59"/>
    <w:rsid w:val="001A5941"/>
    <w:pPr>
      <w:widowControl/>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e"/>
    <w:rsid w:val="00693DA1"/>
    <w:pPr>
      <w:tabs>
        <w:tab w:val="left" w:pos="720"/>
      </w:tabs>
      <w:spacing w:after="0" w:line="240" w:lineRule="atLeast"/>
      <w:jc w:val="both"/>
    </w:pPr>
    <w:rPr>
      <w:rFonts w:ascii="Times New Roman" w:eastAsia="Times New Roman" w:hAnsi="Times New Roman" w:cs="Times New Roman"/>
      <w:snapToGrid w:val="0"/>
      <w:color w:val="auto"/>
      <w:sz w:val="24"/>
      <w:szCs w:val="20"/>
    </w:rPr>
  </w:style>
  <w:style w:type="paragraph" w:customStyle="1" w:styleId="Livellonota11">
    <w:name w:val="Livello nota 11"/>
    <w:basedOn w:val="Normale"/>
    <w:uiPriority w:val="99"/>
    <w:unhideWhenUsed/>
    <w:rsid w:val="0040242D"/>
    <w:pPr>
      <w:keepNext/>
      <w:numPr>
        <w:numId w:val="7"/>
      </w:numPr>
      <w:autoSpaceDE w:val="0"/>
      <w:autoSpaceDN w:val="0"/>
      <w:adjustRightInd w:val="0"/>
      <w:spacing w:after="0" w:line="240" w:lineRule="auto"/>
      <w:contextualSpacing/>
      <w:jc w:val="both"/>
      <w:outlineLvl w:val="0"/>
    </w:pPr>
    <w:rPr>
      <w:rFonts w:ascii="Verdana" w:eastAsia="MS Mincho" w:hAnsi="Verdana" w:cs="Arial"/>
      <w:color w:val="auto"/>
      <w:sz w:val="20"/>
      <w:szCs w:val="20"/>
    </w:rPr>
  </w:style>
  <w:style w:type="paragraph" w:customStyle="1" w:styleId="Livellonota21">
    <w:name w:val="Livello nota 21"/>
    <w:basedOn w:val="Normale"/>
    <w:uiPriority w:val="99"/>
    <w:semiHidden/>
    <w:unhideWhenUsed/>
    <w:rsid w:val="0040242D"/>
    <w:pPr>
      <w:keepNext/>
      <w:numPr>
        <w:ilvl w:val="1"/>
        <w:numId w:val="7"/>
      </w:numPr>
      <w:autoSpaceDE w:val="0"/>
      <w:autoSpaceDN w:val="0"/>
      <w:adjustRightInd w:val="0"/>
      <w:spacing w:after="0" w:line="240" w:lineRule="auto"/>
      <w:contextualSpacing/>
      <w:jc w:val="both"/>
      <w:outlineLvl w:val="1"/>
    </w:pPr>
    <w:rPr>
      <w:rFonts w:ascii="Verdana" w:eastAsia="MS Mincho" w:hAnsi="Verdana" w:cs="Arial"/>
      <w:color w:val="auto"/>
      <w:sz w:val="20"/>
      <w:szCs w:val="20"/>
    </w:rPr>
  </w:style>
  <w:style w:type="paragraph" w:customStyle="1" w:styleId="Livellonota31">
    <w:name w:val="Livello nota 31"/>
    <w:basedOn w:val="Normale"/>
    <w:uiPriority w:val="99"/>
    <w:semiHidden/>
    <w:unhideWhenUsed/>
    <w:rsid w:val="0040242D"/>
    <w:pPr>
      <w:keepNext/>
      <w:numPr>
        <w:ilvl w:val="2"/>
        <w:numId w:val="7"/>
      </w:numPr>
      <w:autoSpaceDE w:val="0"/>
      <w:autoSpaceDN w:val="0"/>
      <w:adjustRightInd w:val="0"/>
      <w:spacing w:after="0" w:line="240" w:lineRule="auto"/>
      <w:contextualSpacing/>
      <w:jc w:val="both"/>
      <w:outlineLvl w:val="2"/>
    </w:pPr>
    <w:rPr>
      <w:rFonts w:ascii="Verdana" w:eastAsia="MS Mincho" w:hAnsi="Verdana" w:cs="Arial"/>
      <w:color w:val="auto"/>
      <w:sz w:val="20"/>
      <w:szCs w:val="20"/>
    </w:rPr>
  </w:style>
  <w:style w:type="paragraph" w:customStyle="1" w:styleId="Livellonota41">
    <w:name w:val="Livello nota 41"/>
    <w:basedOn w:val="Normale"/>
    <w:uiPriority w:val="99"/>
    <w:semiHidden/>
    <w:unhideWhenUsed/>
    <w:rsid w:val="0040242D"/>
    <w:pPr>
      <w:keepNext/>
      <w:numPr>
        <w:ilvl w:val="3"/>
        <w:numId w:val="7"/>
      </w:numPr>
      <w:tabs>
        <w:tab w:val="clear" w:pos="2160"/>
        <w:tab w:val="num" w:pos="360"/>
      </w:tabs>
      <w:autoSpaceDE w:val="0"/>
      <w:autoSpaceDN w:val="0"/>
      <w:adjustRightInd w:val="0"/>
      <w:spacing w:after="0" w:line="240" w:lineRule="auto"/>
      <w:ind w:left="0" w:firstLine="0"/>
      <w:contextualSpacing/>
      <w:jc w:val="both"/>
      <w:outlineLvl w:val="3"/>
    </w:pPr>
    <w:rPr>
      <w:rFonts w:ascii="Verdana" w:eastAsia="MS Mincho" w:hAnsi="Verdana" w:cs="Arial"/>
      <w:color w:val="auto"/>
      <w:sz w:val="20"/>
      <w:szCs w:val="20"/>
    </w:rPr>
  </w:style>
  <w:style w:type="paragraph" w:customStyle="1" w:styleId="Livellonota51">
    <w:name w:val="Livello nota 51"/>
    <w:basedOn w:val="Normale"/>
    <w:uiPriority w:val="99"/>
    <w:semiHidden/>
    <w:unhideWhenUsed/>
    <w:rsid w:val="0040242D"/>
    <w:pPr>
      <w:keepNext/>
      <w:numPr>
        <w:ilvl w:val="4"/>
        <w:numId w:val="7"/>
      </w:numPr>
      <w:autoSpaceDE w:val="0"/>
      <w:autoSpaceDN w:val="0"/>
      <w:adjustRightInd w:val="0"/>
      <w:spacing w:after="0" w:line="240" w:lineRule="auto"/>
      <w:contextualSpacing/>
      <w:jc w:val="both"/>
      <w:outlineLvl w:val="4"/>
    </w:pPr>
    <w:rPr>
      <w:rFonts w:ascii="Verdana" w:eastAsia="MS Mincho" w:hAnsi="Verdana" w:cs="Arial"/>
      <w:color w:val="auto"/>
      <w:sz w:val="20"/>
      <w:szCs w:val="20"/>
    </w:rPr>
  </w:style>
  <w:style w:type="paragraph" w:customStyle="1" w:styleId="Livellonota61">
    <w:name w:val="Livello nota 61"/>
    <w:basedOn w:val="Normale"/>
    <w:uiPriority w:val="99"/>
    <w:semiHidden/>
    <w:unhideWhenUsed/>
    <w:rsid w:val="0040242D"/>
    <w:pPr>
      <w:keepNext/>
      <w:numPr>
        <w:ilvl w:val="5"/>
        <w:numId w:val="7"/>
      </w:numPr>
      <w:autoSpaceDE w:val="0"/>
      <w:autoSpaceDN w:val="0"/>
      <w:adjustRightInd w:val="0"/>
      <w:spacing w:after="0" w:line="240" w:lineRule="auto"/>
      <w:contextualSpacing/>
      <w:jc w:val="both"/>
      <w:outlineLvl w:val="5"/>
    </w:pPr>
    <w:rPr>
      <w:rFonts w:ascii="Verdana" w:eastAsia="MS Mincho" w:hAnsi="Verdana" w:cs="Arial"/>
      <w:color w:val="auto"/>
      <w:sz w:val="20"/>
      <w:szCs w:val="20"/>
    </w:rPr>
  </w:style>
  <w:style w:type="paragraph" w:customStyle="1" w:styleId="Livellonota71">
    <w:name w:val="Livello nota 71"/>
    <w:basedOn w:val="Normale"/>
    <w:uiPriority w:val="99"/>
    <w:semiHidden/>
    <w:unhideWhenUsed/>
    <w:rsid w:val="0040242D"/>
    <w:pPr>
      <w:keepNext/>
      <w:numPr>
        <w:ilvl w:val="6"/>
        <w:numId w:val="7"/>
      </w:numPr>
      <w:autoSpaceDE w:val="0"/>
      <w:autoSpaceDN w:val="0"/>
      <w:adjustRightInd w:val="0"/>
      <w:spacing w:after="0" w:line="240" w:lineRule="auto"/>
      <w:contextualSpacing/>
      <w:jc w:val="both"/>
      <w:outlineLvl w:val="6"/>
    </w:pPr>
    <w:rPr>
      <w:rFonts w:ascii="Verdana" w:eastAsia="MS Mincho" w:hAnsi="Verdana" w:cs="Arial"/>
      <w:color w:val="auto"/>
      <w:sz w:val="20"/>
      <w:szCs w:val="20"/>
    </w:rPr>
  </w:style>
  <w:style w:type="paragraph" w:customStyle="1" w:styleId="Livellonota81">
    <w:name w:val="Livello nota 81"/>
    <w:basedOn w:val="Normale"/>
    <w:uiPriority w:val="99"/>
    <w:semiHidden/>
    <w:unhideWhenUsed/>
    <w:rsid w:val="0040242D"/>
    <w:pPr>
      <w:keepNext/>
      <w:numPr>
        <w:ilvl w:val="7"/>
        <w:numId w:val="7"/>
      </w:numPr>
      <w:autoSpaceDE w:val="0"/>
      <w:autoSpaceDN w:val="0"/>
      <w:adjustRightInd w:val="0"/>
      <w:spacing w:after="0" w:line="240" w:lineRule="auto"/>
      <w:contextualSpacing/>
      <w:jc w:val="both"/>
      <w:outlineLvl w:val="7"/>
    </w:pPr>
    <w:rPr>
      <w:rFonts w:ascii="Verdana" w:eastAsia="MS Mincho" w:hAnsi="Verdana" w:cs="Arial"/>
      <w:color w:val="auto"/>
      <w:sz w:val="20"/>
      <w:szCs w:val="20"/>
    </w:rPr>
  </w:style>
  <w:style w:type="paragraph" w:customStyle="1" w:styleId="Livellonota91">
    <w:name w:val="Livello nota 91"/>
    <w:basedOn w:val="Normale"/>
    <w:uiPriority w:val="99"/>
    <w:semiHidden/>
    <w:unhideWhenUsed/>
    <w:rsid w:val="0040242D"/>
    <w:pPr>
      <w:keepNext/>
      <w:numPr>
        <w:ilvl w:val="8"/>
        <w:numId w:val="7"/>
      </w:numPr>
      <w:autoSpaceDE w:val="0"/>
      <w:autoSpaceDN w:val="0"/>
      <w:adjustRightInd w:val="0"/>
      <w:spacing w:after="0" w:line="240" w:lineRule="auto"/>
      <w:contextualSpacing/>
      <w:jc w:val="both"/>
      <w:outlineLvl w:val="8"/>
    </w:pPr>
    <w:rPr>
      <w:rFonts w:ascii="Verdana" w:eastAsia="MS Mincho" w:hAnsi="Verdana" w:cs="Arial"/>
      <w:color w:val="auto"/>
      <w:sz w:val="20"/>
      <w:szCs w:val="20"/>
    </w:rPr>
  </w:style>
  <w:style w:type="paragraph" w:styleId="Nessunaspaziatura">
    <w:name w:val="No Spacing"/>
    <w:uiPriority w:val="1"/>
    <w:qFormat/>
    <w:rsid w:val="002D77B8"/>
    <w:pPr>
      <w:spacing w:after="0" w:line="240" w:lineRule="auto"/>
    </w:pPr>
  </w:style>
  <w:style w:type="character" w:customStyle="1" w:styleId="Menzionenonrisolta1">
    <w:name w:val="Menzione non risolta1"/>
    <w:basedOn w:val="Carpredefinitoparagrafo"/>
    <w:uiPriority w:val="99"/>
    <w:semiHidden/>
    <w:unhideWhenUsed/>
    <w:rsid w:val="00ED69EA"/>
    <w:rPr>
      <w:color w:val="605E5C"/>
      <w:shd w:val="clear" w:color="auto" w:fill="E1DFDD"/>
    </w:rPr>
  </w:style>
  <w:style w:type="paragraph" w:styleId="PreformattatoHTML">
    <w:name w:val="HTML Preformatted"/>
    <w:basedOn w:val="Normale"/>
    <w:link w:val="PreformattatoHTMLCarattere"/>
    <w:uiPriority w:val="99"/>
    <w:semiHidden/>
    <w:unhideWhenUsed/>
    <w:rsid w:val="00556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eformattatoHTMLCarattere">
    <w:name w:val="Preformattato HTML Carattere"/>
    <w:basedOn w:val="Carpredefinitoparagrafo"/>
    <w:link w:val="PreformattatoHTML"/>
    <w:uiPriority w:val="99"/>
    <w:semiHidden/>
    <w:rsid w:val="00556D1D"/>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175">
      <w:bodyDiv w:val="1"/>
      <w:marLeft w:val="0"/>
      <w:marRight w:val="0"/>
      <w:marTop w:val="0"/>
      <w:marBottom w:val="0"/>
      <w:divBdr>
        <w:top w:val="none" w:sz="0" w:space="0" w:color="auto"/>
        <w:left w:val="none" w:sz="0" w:space="0" w:color="auto"/>
        <w:bottom w:val="none" w:sz="0" w:space="0" w:color="auto"/>
        <w:right w:val="none" w:sz="0" w:space="0" w:color="auto"/>
      </w:divBdr>
    </w:div>
    <w:div w:id="450243679">
      <w:bodyDiv w:val="1"/>
      <w:marLeft w:val="0"/>
      <w:marRight w:val="0"/>
      <w:marTop w:val="0"/>
      <w:marBottom w:val="0"/>
      <w:divBdr>
        <w:top w:val="none" w:sz="0" w:space="0" w:color="auto"/>
        <w:left w:val="none" w:sz="0" w:space="0" w:color="auto"/>
        <w:bottom w:val="none" w:sz="0" w:space="0" w:color="auto"/>
        <w:right w:val="none" w:sz="0" w:space="0" w:color="auto"/>
      </w:divBdr>
    </w:div>
    <w:div w:id="543517991">
      <w:bodyDiv w:val="1"/>
      <w:marLeft w:val="0"/>
      <w:marRight w:val="0"/>
      <w:marTop w:val="0"/>
      <w:marBottom w:val="0"/>
      <w:divBdr>
        <w:top w:val="none" w:sz="0" w:space="0" w:color="auto"/>
        <w:left w:val="none" w:sz="0" w:space="0" w:color="auto"/>
        <w:bottom w:val="none" w:sz="0" w:space="0" w:color="auto"/>
        <w:right w:val="none" w:sz="0" w:space="0" w:color="auto"/>
      </w:divBdr>
    </w:div>
    <w:div w:id="590626193">
      <w:bodyDiv w:val="1"/>
      <w:marLeft w:val="0"/>
      <w:marRight w:val="0"/>
      <w:marTop w:val="0"/>
      <w:marBottom w:val="0"/>
      <w:divBdr>
        <w:top w:val="none" w:sz="0" w:space="0" w:color="auto"/>
        <w:left w:val="none" w:sz="0" w:space="0" w:color="auto"/>
        <w:bottom w:val="none" w:sz="0" w:space="0" w:color="auto"/>
        <w:right w:val="none" w:sz="0" w:space="0" w:color="auto"/>
      </w:divBdr>
      <w:divsChild>
        <w:div w:id="1423603003">
          <w:marLeft w:val="0"/>
          <w:marRight w:val="0"/>
          <w:marTop w:val="0"/>
          <w:marBottom w:val="0"/>
          <w:divBdr>
            <w:top w:val="none" w:sz="0" w:space="0" w:color="auto"/>
            <w:left w:val="none" w:sz="0" w:space="0" w:color="auto"/>
            <w:bottom w:val="none" w:sz="0" w:space="0" w:color="auto"/>
            <w:right w:val="none" w:sz="0" w:space="0" w:color="auto"/>
          </w:divBdr>
        </w:div>
        <w:div w:id="58330911">
          <w:marLeft w:val="0"/>
          <w:marRight w:val="0"/>
          <w:marTop w:val="0"/>
          <w:marBottom w:val="0"/>
          <w:divBdr>
            <w:top w:val="none" w:sz="0" w:space="0" w:color="auto"/>
            <w:left w:val="none" w:sz="0" w:space="0" w:color="auto"/>
            <w:bottom w:val="none" w:sz="0" w:space="0" w:color="auto"/>
            <w:right w:val="none" w:sz="0" w:space="0" w:color="auto"/>
          </w:divBdr>
        </w:div>
      </w:divsChild>
    </w:div>
    <w:div w:id="891114116">
      <w:bodyDiv w:val="1"/>
      <w:marLeft w:val="0"/>
      <w:marRight w:val="0"/>
      <w:marTop w:val="0"/>
      <w:marBottom w:val="0"/>
      <w:divBdr>
        <w:top w:val="none" w:sz="0" w:space="0" w:color="auto"/>
        <w:left w:val="none" w:sz="0" w:space="0" w:color="auto"/>
        <w:bottom w:val="none" w:sz="0" w:space="0" w:color="auto"/>
        <w:right w:val="none" w:sz="0" w:space="0" w:color="auto"/>
      </w:divBdr>
    </w:div>
    <w:div w:id="1338464929">
      <w:bodyDiv w:val="1"/>
      <w:marLeft w:val="0"/>
      <w:marRight w:val="0"/>
      <w:marTop w:val="0"/>
      <w:marBottom w:val="0"/>
      <w:divBdr>
        <w:top w:val="none" w:sz="0" w:space="0" w:color="auto"/>
        <w:left w:val="none" w:sz="0" w:space="0" w:color="auto"/>
        <w:bottom w:val="none" w:sz="0" w:space="0" w:color="auto"/>
        <w:right w:val="none" w:sz="0" w:space="0" w:color="auto"/>
      </w:divBdr>
    </w:div>
    <w:div w:id="1451047311">
      <w:bodyDiv w:val="1"/>
      <w:marLeft w:val="0"/>
      <w:marRight w:val="0"/>
      <w:marTop w:val="0"/>
      <w:marBottom w:val="0"/>
      <w:divBdr>
        <w:top w:val="none" w:sz="0" w:space="0" w:color="auto"/>
        <w:left w:val="none" w:sz="0" w:space="0" w:color="auto"/>
        <w:bottom w:val="none" w:sz="0" w:space="0" w:color="auto"/>
        <w:right w:val="none" w:sz="0" w:space="0" w:color="auto"/>
      </w:divBdr>
    </w:div>
    <w:div w:id="2101830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4.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3.png"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2.png"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C1BE-59D8-4513-8276-81A992215C9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2260</Words>
  <Characters>12886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Parlato</dc:creator>
  <cp:lastModifiedBy>Stefano Di Traglia</cp:lastModifiedBy>
  <cp:revision>2</cp:revision>
  <cp:lastPrinted>2023-05-25T11:17:00Z</cp:lastPrinted>
  <dcterms:created xsi:type="dcterms:W3CDTF">2023-05-25T13:34:00Z</dcterms:created>
  <dcterms:modified xsi:type="dcterms:W3CDTF">2023-05-25T13:34:00Z</dcterms:modified>
</cp:coreProperties>
</file>